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第17</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6</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21</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6</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25</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w:t>
      </w:r>
      <w:r>
        <w:rPr>
          <w:rFonts w:hint="eastAsia" w:ascii="仿宋_GB2312" w:hAnsi="仿宋_GB2312" w:eastAsia="仿宋_GB2312" w:cs="仿宋_GB2312"/>
          <w:b/>
          <w:bCs/>
          <w:sz w:val="24"/>
          <w:szCs w:val="22"/>
          <w:lang w:val="en-US" w:eastAsia="zh-CN"/>
        </w:rPr>
        <w:t>中心</w:t>
      </w:r>
      <w:r>
        <w:rPr>
          <w:rFonts w:hint="eastAsia" w:ascii="仿宋_GB2312" w:hAnsi="仿宋_GB2312" w:eastAsia="仿宋_GB2312" w:cs="仿宋_GB2312"/>
          <w:b/>
          <w:bCs/>
          <w:sz w:val="24"/>
          <w:szCs w:val="22"/>
        </w:rPr>
        <w:t>办公室</w:t>
      </w:r>
    </w:p>
    <w:tbl>
      <w:tblPr>
        <w:tblStyle w:val="4"/>
        <w:tblW w:w="5294"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508"/>
        <w:gridCol w:w="1237"/>
        <w:gridCol w:w="2158"/>
        <w:gridCol w:w="7954"/>
        <w:gridCol w:w="1294"/>
        <w:gridCol w:w="1200"/>
        <w:gridCol w:w="1304"/>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76" w:hRule="atLeast"/>
          <w:jc w:val="center"/>
        </w:trPr>
        <w:tc>
          <w:tcPr>
            <w:tcW w:w="162"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lang w:val="en-US" w:eastAsia="zh-CN"/>
              </w:rPr>
            </w:pPr>
            <w:r>
              <w:rPr>
                <w:rFonts w:hint="eastAsia" w:ascii="黑体" w:hAnsi="黑体" w:eastAsia="黑体" w:cs="黑体"/>
                <w:sz w:val="20"/>
                <w:szCs w:val="18"/>
                <w:lang w:val="en-US" w:eastAsia="zh-CN"/>
              </w:rPr>
              <w:t>序号</w:t>
            </w:r>
          </w:p>
        </w:tc>
        <w:tc>
          <w:tcPr>
            <w:tcW w:w="395"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部门</w:t>
            </w:r>
          </w:p>
        </w:tc>
        <w:tc>
          <w:tcPr>
            <w:tcW w:w="689" w:type="pct"/>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工作名称及内容</w:t>
            </w:r>
          </w:p>
        </w:tc>
        <w:tc>
          <w:tcPr>
            <w:tcW w:w="2539"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要求和目标</w:t>
            </w:r>
          </w:p>
        </w:tc>
        <w:tc>
          <w:tcPr>
            <w:tcW w:w="796"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责任人</w:t>
            </w:r>
          </w:p>
        </w:tc>
        <w:tc>
          <w:tcPr>
            <w:tcW w:w="416"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20"/>
                <w:szCs w:val="18"/>
              </w:rPr>
            </w:pPr>
            <w:r>
              <w:rPr>
                <w:rFonts w:hint="eastAsia" w:ascii="黑体" w:hAnsi="黑体" w:eastAsia="黑体" w:cs="黑体"/>
                <w:sz w:val="20"/>
                <w:szCs w:val="18"/>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83" w:hRule="atLeast"/>
          <w:jc w:val="center"/>
        </w:trPr>
        <w:tc>
          <w:tcPr>
            <w:tcW w:w="162"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6"/>
                <w:szCs w:val="15"/>
              </w:rPr>
            </w:pPr>
          </w:p>
        </w:tc>
        <w:tc>
          <w:tcPr>
            <w:tcW w:w="395"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6"/>
                <w:szCs w:val="15"/>
              </w:rPr>
            </w:pPr>
          </w:p>
        </w:tc>
        <w:tc>
          <w:tcPr>
            <w:tcW w:w="689"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6"/>
                <w:szCs w:val="15"/>
              </w:rPr>
            </w:pPr>
          </w:p>
        </w:tc>
        <w:tc>
          <w:tcPr>
            <w:tcW w:w="2539"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sz w:val="16"/>
                <w:szCs w:val="15"/>
              </w:rPr>
            </w:pPr>
          </w:p>
        </w:tc>
        <w:tc>
          <w:tcPr>
            <w:tcW w:w="413"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r>
              <w:rPr>
                <w:rFonts w:hint="eastAsia" w:ascii="黑体" w:hAnsi="黑体" w:eastAsia="黑体" w:cs="黑体"/>
                <w:sz w:val="18"/>
                <w:szCs w:val="16"/>
              </w:rPr>
              <w:t>负责人</w:t>
            </w:r>
          </w:p>
        </w:tc>
        <w:tc>
          <w:tcPr>
            <w:tcW w:w="38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r>
              <w:rPr>
                <w:rFonts w:hint="eastAsia" w:ascii="黑体" w:hAnsi="黑体" w:eastAsia="黑体" w:cs="黑体"/>
                <w:sz w:val="18"/>
                <w:szCs w:val="16"/>
              </w:rPr>
              <w:t>责任领导</w:t>
            </w:r>
          </w:p>
        </w:tc>
        <w:tc>
          <w:tcPr>
            <w:tcW w:w="416"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406" w:hRule="atLeast"/>
          <w:jc w:val="center"/>
        </w:trPr>
        <w:tc>
          <w:tcPr>
            <w:tcW w:w="162"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395"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20"/>
                <w:szCs w:val="18"/>
                <w:lang w:val="en-US" w:eastAsia="zh-CN" w:bidi="ar-SA"/>
              </w:rPr>
            </w:pPr>
            <w:r>
              <w:rPr>
                <w:rFonts w:hint="eastAsia" w:ascii="黑体" w:hAnsi="黑体" w:eastAsia="黑体" w:cs="黑体"/>
                <w:b w:val="0"/>
                <w:bCs w:val="0"/>
                <w:color w:val="auto"/>
                <w:spacing w:val="14"/>
                <w:sz w:val="22"/>
                <w:szCs w:val="22"/>
                <w:lang w:val="en-US" w:eastAsia="zh-CN"/>
              </w:rPr>
              <w:t>物管</w:t>
            </w:r>
            <w:r>
              <w:rPr>
                <w:rFonts w:hint="eastAsia" w:ascii="黑体" w:hAnsi="黑体" w:eastAsia="黑体" w:cs="黑体"/>
                <w:b w:val="0"/>
                <w:bCs w:val="0"/>
                <w:spacing w:val="14"/>
                <w:sz w:val="22"/>
                <w:szCs w:val="22"/>
                <w:lang w:val="en-US" w:eastAsia="zh-CN"/>
              </w:rPr>
              <w:t>部</w:t>
            </w:r>
          </w:p>
        </w:tc>
        <w:tc>
          <w:tcPr>
            <w:tcW w:w="689" w:type="pct"/>
            <w:tcBorders>
              <w:left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sz w:val="18"/>
                <w:szCs w:val="16"/>
                <w:lang w:val="en-US" w:eastAsia="zh-CN"/>
              </w:rPr>
            </w:pPr>
            <w:r>
              <w:rPr>
                <w:rFonts w:hint="eastAsia"/>
                <w:sz w:val="18"/>
                <w:szCs w:val="16"/>
                <w:lang w:val="en-US" w:eastAsia="zh-CN"/>
              </w:rPr>
              <w:t>绿化养护</w:t>
            </w:r>
          </w:p>
        </w:tc>
        <w:tc>
          <w:tcPr>
            <w:tcW w:w="2539" w:type="pct"/>
            <w:tcBorders>
              <w:left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18"/>
                <w:szCs w:val="16"/>
                <w:lang w:val="en-US" w:eastAsia="zh-CN"/>
              </w:rPr>
            </w:pPr>
            <w:r>
              <w:rPr>
                <w:rFonts w:hint="eastAsia"/>
                <w:sz w:val="18"/>
                <w:szCs w:val="16"/>
                <w:lang w:val="en-US" w:eastAsia="zh-CN"/>
              </w:rPr>
              <w:t>1、从桂园北门开始，继续对校内绿植进行修剪清理。</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18"/>
                <w:szCs w:val="16"/>
                <w:lang w:val="en-US" w:eastAsia="zh-CN"/>
              </w:rPr>
            </w:pPr>
            <w:r>
              <w:rPr>
                <w:rFonts w:hint="eastAsia"/>
                <w:sz w:val="18"/>
                <w:szCs w:val="16"/>
                <w:lang w:val="en-US" w:eastAsia="zh-CN"/>
              </w:rPr>
              <w:t>2、从桂园北门开始，全校浇水抗旱。</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default"/>
                <w:sz w:val="18"/>
                <w:szCs w:val="16"/>
                <w:lang w:val="en-US" w:eastAsia="zh-CN"/>
              </w:rPr>
            </w:pPr>
            <w:r>
              <w:rPr>
                <w:rFonts w:hint="eastAsia"/>
                <w:sz w:val="18"/>
                <w:szCs w:val="16"/>
                <w:lang w:val="en-US" w:eastAsia="zh-CN"/>
              </w:rPr>
              <w:t>3、对校内病虫害树木进行处理。（唐嘉忆）</w:t>
            </w:r>
          </w:p>
        </w:tc>
        <w:tc>
          <w:tcPr>
            <w:tcW w:w="413"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r>
              <w:rPr>
                <w:rFonts w:hint="eastAsia" w:ascii="黑体" w:hAnsi="黑体" w:eastAsia="黑体" w:cs="黑体"/>
                <w:b w:val="0"/>
                <w:bCs w:val="0"/>
                <w:spacing w:val="14"/>
                <w:kern w:val="2"/>
                <w:sz w:val="21"/>
                <w:szCs w:val="21"/>
                <w:lang w:val="en-US" w:eastAsia="zh-CN" w:bidi="ar-SA"/>
              </w:rPr>
              <w:t>周小驭</w:t>
            </w:r>
          </w:p>
        </w:tc>
        <w:tc>
          <w:tcPr>
            <w:tcW w:w="383"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spacing w:val="14"/>
                <w:kern w:val="2"/>
                <w:sz w:val="21"/>
                <w:szCs w:val="21"/>
                <w:lang w:val="en-US" w:eastAsia="zh-CN" w:bidi="ar-SA"/>
              </w:rPr>
            </w:pPr>
            <w:r>
              <w:rPr>
                <w:rFonts w:hint="eastAsia" w:ascii="黑体" w:hAnsi="黑体" w:eastAsia="黑体" w:cs="黑体"/>
                <w:b w:val="0"/>
                <w:bCs w:val="0"/>
                <w:spacing w:val="14"/>
                <w:sz w:val="21"/>
                <w:szCs w:val="21"/>
                <w:lang w:val="en-US" w:eastAsia="zh-CN"/>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328" w:hRule="atLeast"/>
          <w:jc w:val="center"/>
        </w:trPr>
        <w:tc>
          <w:tcPr>
            <w:tcW w:w="162"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395"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6"/>
                <w:szCs w:val="15"/>
              </w:rPr>
            </w:pPr>
          </w:p>
        </w:tc>
        <w:tc>
          <w:tcPr>
            <w:tcW w:w="689" w:type="pct"/>
            <w:tcBorders>
              <w:left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sz w:val="18"/>
                <w:szCs w:val="16"/>
                <w:lang w:val="en-US" w:eastAsia="zh-CN"/>
              </w:rPr>
            </w:pPr>
            <w:r>
              <w:rPr>
                <w:rFonts w:hint="eastAsia"/>
                <w:sz w:val="18"/>
                <w:szCs w:val="16"/>
                <w:lang w:val="en-US" w:eastAsia="zh-CN"/>
              </w:rPr>
              <w:t>校园保洁及消杀</w:t>
            </w:r>
          </w:p>
        </w:tc>
        <w:tc>
          <w:tcPr>
            <w:tcW w:w="2539" w:type="pct"/>
            <w:tcBorders>
              <w:left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default"/>
                <w:sz w:val="18"/>
                <w:szCs w:val="16"/>
                <w:lang w:val="en-US" w:eastAsia="zh-CN"/>
              </w:rPr>
            </w:pPr>
            <w:r>
              <w:rPr>
                <w:rFonts w:hint="eastAsia"/>
                <w:sz w:val="18"/>
                <w:szCs w:val="16"/>
                <w:lang w:val="en-US" w:eastAsia="zh-CN"/>
              </w:rPr>
              <w:t>1、要求加强室外保洁员对主干道及绿化带垃圾的清理及垃圾桶每次清扫后及时归位。</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default"/>
                <w:sz w:val="18"/>
                <w:szCs w:val="16"/>
                <w:lang w:val="en-US" w:eastAsia="zh-CN"/>
              </w:rPr>
            </w:pPr>
            <w:r>
              <w:rPr>
                <w:rFonts w:hint="eastAsia"/>
                <w:sz w:val="18"/>
                <w:szCs w:val="16"/>
                <w:lang w:val="en-US" w:eastAsia="zh-CN"/>
              </w:rPr>
              <w:t>2、重点加强体育馆、训练馆公共区域及南区家属区楼梯间的卫生保洁工作。</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default"/>
                <w:sz w:val="18"/>
                <w:szCs w:val="16"/>
                <w:lang w:val="en-US" w:eastAsia="zh-CN"/>
              </w:rPr>
            </w:pPr>
            <w:r>
              <w:rPr>
                <w:rFonts w:hint="eastAsia"/>
                <w:sz w:val="18"/>
                <w:szCs w:val="16"/>
                <w:lang w:val="en-US" w:eastAsia="zh-CN"/>
              </w:rPr>
              <w:t>3、重点加强桃园5-7栋学生宿舍公共区域卫生保洁工作。</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default"/>
                <w:sz w:val="18"/>
                <w:szCs w:val="16"/>
                <w:lang w:val="en-US" w:eastAsia="zh-CN"/>
              </w:rPr>
            </w:pPr>
            <w:r>
              <w:rPr>
                <w:rFonts w:hint="eastAsia"/>
                <w:sz w:val="18"/>
                <w:szCs w:val="16"/>
                <w:lang w:val="en-US" w:eastAsia="zh-CN"/>
              </w:rPr>
              <w:t>4、加强监管毕业生宿舍垃圾清运情况。</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18"/>
                <w:szCs w:val="16"/>
                <w:lang w:val="en-US" w:eastAsia="zh-CN"/>
              </w:rPr>
            </w:pPr>
            <w:r>
              <w:rPr>
                <w:rFonts w:hint="eastAsia"/>
                <w:sz w:val="18"/>
                <w:szCs w:val="16"/>
                <w:lang w:val="en-US" w:eastAsia="zh-CN"/>
              </w:rPr>
              <w:t>5、行政楼、图书馆每日消杀工作。（周素芳）</w:t>
            </w:r>
          </w:p>
        </w:tc>
        <w:tc>
          <w:tcPr>
            <w:tcW w:w="413"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p>
        </w:tc>
        <w:tc>
          <w:tcPr>
            <w:tcW w:w="383"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auto"/>
                <w:spacing w:val="14"/>
                <w:kern w:val="2"/>
                <w:sz w:val="21"/>
                <w:szCs w:val="21"/>
                <w:lang w:val="en-US" w:eastAsia="zh-CN" w:bidi="ar-SA"/>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83" w:hRule="atLeast"/>
          <w:jc w:val="center"/>
        </w:trPr>
        <w:tc>
          <w:tcPr>
            <w:tcW w:w="162"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395"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6"/>
                <w:szCs w:val="15"/>
              </w:rPr>
            </w:pPr>
          </w:p>
        </w:tc>
        <w:tc>
          <w:tcPr>
            <w:tcW w:w="689" w:type="pct"/>
            <w:tcBorders>
              <w:left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sz w:val="18"/>
                <w:szCs w:val="16"/>
                <w:lang w:val="en-US" w:eastAsia="zh-CN"/>
              </w:rPr>
            </w:pPr>
            <w:r>
              <w:rPr>
                <w:rFonts w:hint="eastAsia"/>
                <w:sz w:val="18"/>
                <w:szCs w:val="16"/>
                <w:lang w:val="en-US" w:eastAsia="zh-CN"/>
              </w:rPr>
              <w:t>学术交流中心接待</w:t>
            </w:r>
          </w:p>
        </w:tc>
        <w:tc>
          <w:tcPr>
            <w:tcW w:w="2539" w:type="pct"/>
            <w:tcBorders>
              <w:left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18"/>
                <w:szCs w:val="16"/>
                <w:lang w:val="en-US" w:eastAsia="zh-CN"/>
              </w:rPr>
            </w:pPr>
            <w:r>
              <w:rPr>
                <w:rFonts w:hint="eastAsia"/>
                <w:sz w:val="18"/>
                <w:szCs w:val="16"/>
                <w:lang w:val="en-US" w:eastAsia="zh-CN"/>
              </w:rPr>
              <w:t>完成接待工作</w:t>
            </w:r>
          </w:p>
        </w:tc>
        <w:tc>
          <w:tcPr>
            <w:tcW w:w="413"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p>
        </w:tc>
        <w:tc>
          <w:tcPr>
            <w:tcW w:w="383"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FF"/>
                <w:spacing w:val="14"/>
                <w:kern w:val="2"/>
                <w:sz w:val="21"/>
                <w:szCs w:val="21"/>
                <w:lang w:val="en-US" w:eastAsia="zh-CN" w:bidi="ar-SA"/>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38" w:hRule="atLeast"/>
          <w:jc w:val="center"/>
        </w:trPr>
        <w:tc>
          <w:tcPr>
            <w:tcW w:w="162"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395"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6"/>
                <w:szCs w:val="15"/>
              </w:rPr>
            </w:pPr>
          </w:p>
        </w:tc>
        <w:tc>
          <w:tcPr>
            <w:tcW w:w="689" w:type="pct"/>
            <w:tcBorders>
              <w:left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sz w:val="18"/>
                <w:szCs w:val="16"/>
                <w:lang w:val="en-US" w:eastAsia="zh-CN"/>
              </w:rPr>
            </w:pPr>
            <w:r>
              <w:rPr>
                <w:rFonts w:hint="eastAsia"/>
                <w:sz w:val="18"/>
                <w:szCs w:val="16"/>
                <w:lang w:val="en-US" w:eastAsia="zh-CN"/>
              </w:rPr>
              <w:t>家具购置</w:t>
            </w:r>
          </w:p>
        </w:tc>
        <w:tc>
          <w:tcPr>
            <w:tcW w:w="2539" w:type="pct"/>
            <w:tcBorders>
              <w:left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18"/>
                <w:szCs w:val="16"/>
                <w:lang w:val="en-US" w:eastAsia="zh-CN"/>
              </w:rPr>
            </w:pPr>
            <w:r>
              <w:rPr>
                <w:rFonts w:hint="eastAsia"/>
                <w:sz w:val="18"/>
                <w:szCs w:val="16"/>
                <w:lang w:val="en-US" w:eastAsia="zh-CN"/>
              </w:rPr>
              <w:t>文法学院辅导室、离退休处、智能制造学院家具验收。（唐嘉忆）</w:t>
            </w:r>
          </w:p>
        </w:tc>
        <w:tc>
          <w:tcPr>
            <w:tcW w:w="413"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p>
        </w:tc>
        <w:tc>
          <w:tcPr>
            <w:tcW w:w="383"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spacing w:val="14"/>
                <w:kern w:val="2"/>
                <w:sz w:val="21"/>
                <w:szCs w:val="21"/>
                <w:lang w:val="en-US" w:eastAsia="zh-CN" w:bidi="ar-SA"/>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68" w:hRule="atLeast"/>
          <w:jc w:val="center"/>
        </w:trPr>
        <w:tc>
          <w:tcPr>
            <w:tcW w:w="162"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395"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16"/>
                <w:szCs w:val="15"/>
              </w:rPr>
            </w:pPr>
          </w:p>
        </w:tc>
        <w:tc>
          <w:tcPr>
            <w:tcW w:w="689" w:type="pct"/>
            <w:tcBorders>
              <w:left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sz w:val="18"/>
                <w:szCs w:val="16"/>
                <w:lang w:val="en-US" w:eastAsia="zh-CN"/>
              </w:rPr>
            </w:pPr>
            <w:r>
              <w:rPr>
                <w:rFonts w:hint="eastAsia"/>
                <w:sz w:val="18"/>
                <w:szCs w:val="16"/>
                <w:lang w:val="en-US" w:eastAsia="zh-CN"/>
              </w:rPr>
              <w:t>窗帘购置</w:t>
            </w:r>
          </w:p>
        </w:tc>
        <w:tc>
          <w:tcPr>
            <w:tcW w:w="2539" w:type="pct"/>
            <w:tcBorders>
              <w:left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18"/>
                <w:szCs w:val="16"/>
                <w:lang w:val="en-US" w:eastAsia="zh-CN"/>
              </w:rPr>
            </w:pPr>
            <w:r>
              <w:rPr>
                <w:rFonts w:hint="eastAsia"/>
                <w:sz w:val="18"/>
                <w:szCs w:val="16"/>
                <w:lang w:val="en-US" w:eastAsia="zh-CN"/>
              </w:rPr>
              <w:t>美院天台、教学楼多媒体教室窗帘验收。（唐嘉忆）</w:t>
            </w:r>
          </w:p>
        </w:tc>
        <w:tc>
          <w:tcPr>
            <w:tcW w:w="413" w:type="pct"/>
            <w:vMerge w:val="continue"/>
            <w:tcBorders>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p>
        </w:tc>
        <w:tc>
          <w:tcPr>
            <w:tcW w:w="383"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FF"/>
                <w:spacing w:val="14"/>
                <w:kern w:val="2"/>
                <w:sz w:val="21"/>
                <w:szCs w:val="21"/>
                <w:lang w:val="en-US" w:eastAsia="zh-CN" w:bidi="ar-SA"/>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23" w:hRule="atLeast"/>
          <w:jc w:val="center"/>
        </w:trPr>
        <w:tc>
          <w:tcPr>
            <w:tcW w:w="162"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p>
        </w:tc>
        <w:tc>
          <w:tcPr>
            <w:tcW w:w="395"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kern w:val="2"/>
                <w:sz w:val="22"/>
                <w:szCs w:val="22"/>
                <w:lang w:val="en-US" w:eastAsia="zh-CN" w:bidi="ar-SA"/>
              </w:rPr>
            </w:pPr>
            <w:r>
              <w:rPr>
                <w:rFonts w:hint="eastAsia" w:ascii="黑体" w:hAnsi="黑体" w:eastAsia="黑体" w:cs="黑体"/>
                <w:b w:val="0"/>
                <w:bCs w:val="0"/>
                <w:spacing w:val="14"/>
                <w:sz w:val="22"/>
                <w:szCs w:val="22"/>
                <w:lang w:val="en-US" w:eastAsia="zh-CN"/>
              </w:rPr>
              <w:t>能源部</w:t>
            </w:r>
          </w:p>
        </w:tc>
        <w:tc>
          <w:tcPr>
            <w:tcW w:w="689" w:type="pct"/>
            <w:tcBorders>
              <w:left w:val="single" w:color="auto" w:sz="4" w:space="0"/>
              <w:right w:val="single" w:color="000000" w:sz="4" w:space="0"/>
            </w:tcBorders>
            <w:vAlign w:val="center"/>
          </w:tcPr>
          <w:p>
            <w:pPr>
              <w:jc w:val="center"/>
              <w:rPr>
                <w:rFonts w:hint="eastAsia" w:ascii="Times New Roman" w:hAnsi="Times New Roman" w:eastAsia="宋体" w:cs="Times New Roman"/>
                <w:kern w:val="2"/>
                <w:sz w:val="18"/>
                <w:szCs w:val="16"/>
                <w:lang w:val="en-US" w:eastAsia="zh-CN" w:bidi="ar-SA"/>
              </w:rPr>
            </w:pPr>
            <w:r>
              <w:rPr>
                <w:rFonts w:hint="eastAsia"/>
                <w:sz w:val="18"/>
                <w:szCs w:val="16"/>
              </w:rPr>
              <w:t>水厂工作</w:t>
            </w:r>
          </w:p>
        </w:tc>
        <w:tc>
          <w:tcPr>
            <w:tcW w:w="2539" w:type="pct"/>
            <w:tcBorders>
              <w:left w:val="single" w:color="000000" w:sz="4" w:space="0"/>
              <w:right w:val="single" w:color="000000" w:sz="4" w:space="0"/>
            </w:tcBorders>
            <w:vAlign w:val="center"/>
          </w:tcPr>
          <w:p>
            <w:pPr>
              <w:rPr>
                <w:rFonts w:hint="eastAsia" w:ascii="Times New Roman" w:hAnsi="Times New Roman" w:eastAsia="宋体" w:cs="Times New Roman"/>
                <w:kern w:val="2"/>
                <w:sz w:val="18"/>
                <w:szCs w:val="16"/>
                <w:lang w:val="en-US" w:eastAsia="zh-CN" w:bidi="ar-SA"/>
              </w:rPr>
            </w:pPr>
            <w:r>
              <w:rPr>
                <w:rFonts w:hint="eastAsia"/>
                <w:sz w:val="18"/>
                <w:szCs w:val="16"/>
              </w:rPr>
              <w:t>消毒</w:t>
            </w:r>
            <w:r>
              <w:rPr>
                <w:sz w:val="18"/>
                <w:szCs w:val="16"/>
              </w:rPr>
              <w:t>药品</w:t>
            </w:r>
            <w:r>
              <w:rPr>
                <w:rFonts w:hint="eastAsia"/>
                <w:sz w:val="18"/>
                <w:szCs w:val="16"/>
              </w:rPr>
              <w:t>招标第</w:t>
            </w:r>
            <w:r>
              <w:rPr>
                <w:sz w:val="18"/>
                <w:szCs w:val="16"/>
              </w:rPr>
              <w:t>二招标</w:t>
            </w:r>
            <w:r>
              <w:rPr>
                <w:rFonts w:hint="eastAsia"/>
                <w:sz w:val="18"/>
                <w:szCs w:val="16"/>
                <w:lang w:eastAsia="zh-CN"/>
              </w:rPr>
              <w:t>（</w:t>
            </w:r>
            <w:r>
              <w:rPr>
                <w:rFonts w:hint="eastAsia"/>
                <w:sz w:val="18"/>
                <w:szCs w:val="16"/>
              </w:rPr>
              <w:t>王</w:t>
            </w:r>
            <w:r>
              <w:rPr>
                <w:sz w:val="18"/>
                <w:szCs w:val="16"/>
              </w:rPr>
              <w:t>艳香</w:t>
            </w:r>
            <w:r>
              <w:rPr>
                <w:rFonts w:hint="eastAsia"/>
                <w:sz w:val="18"/>
                <w:szCs w:val="16"/>
                <w:lang w:eastAsia="zh-CN"/>
              </w:rPr>
              <w:t>）</w:t>
            </w:r>
          </w:p>
        </w:tc>
        <w:tc>
          <w:tcPr>
            <w:tcW w:w="413"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r>
              <w:rPr>
                <w:rFonts w:hint="eastAsia" w:ascii="黑体" w:hAnsi="黑体" w:eastAsia="黑体" w:cs="黑体"/>
                <w:b w:val="0"/>
                <w:bCs w:val="0"/>
                <w:spacing w:val="14"/>
                <w:kern w:val="2"/>
                <w:sz w:val="21"/>
                <w:szCs w:val="21"/>
                <w:lang w:val="en-US" w:eastAsia="zh-CN" w:bidi="ar-SA"/>
              </w:rPr>
              <w:t>周宏坤</w:t>
            </w:r>
          </w:p>
        </w:tc>
        <w:tc>
          <w:tcPr>
            <w:tcW w:w="383" w:type="pct"/>
            <w:vMerge w:val="restart"/>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r>
              <w:rPr>
                <w:rFonts w:hint="eastAsia" w:ascii="黑体" w:hAnsi="黑体" w:eastAsia="黑体" w:cs="黑体"/>
                <w:b w:val="0"/>
                <w:bCs w:val="0"/>
                <w:spacing w:val="14"/>
                <w:sz w:val="21"/>
                <w:szCs w:val="21"/>
                <w:lang w:val="en-US" w:eastAsia="zh-CN"/>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72" w:hRule="atLeast"/>
          <w:jc w:val="center"/>
        </w:trPr>
        <w:tc>
          <w:tcPr>
            <w:tcW w:w="162"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39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sz w:val="22"/>
                <w:szCs w:val="22"/>
                <w:lang w:val="en-US" w:eastAsia="zh-CN"/>
              </w:rPr>
            </w:pPr>
          </w:p>
        </w:tc>
        <w:tc>
          <w:tcPr>
            <w:tcW w:w="689" w:type="pct"/>
            <w:tcBorders>
              <w:left w:val="single" w:color="auto" w:sz="4" w:space="0"/>
              <w:right w:val="single" w:color="000000" w:sz="4" w:space="0"/>
            </w:tcBorders>
            <w:vAlign w:val="center"/>
          </w:tcPr>
          <w:p>
            <w:pPr>
              <w:jc w:val="center"/>
              <w:rPr>
                <w:rFonts w:hint="eastAsia" w:ascii="Times New Roman" w:hAnsi="Times New Roman" w:eastAsia="宋体" w:cs="Times New Roman"/>
                <w:kern w:val="2"/>
                <w:sz w:val="18"/>
                <w:szCs w:val="16"/>
                <w:lang w:val="en-US" w:eastAsia="zh-CN" w:bidi="ar-SA"/>
              </w:rPr>
            </w:pPr>
            <w:r>
              <w:rPr>
                <w:rFonts w:hint="eastAsia"/>
                <w:sz w:val="18"/>
                <w:szCs w:val="16"/>
              </w:rPr>
              <w:t>箱变工作</w:t>
            </w:r>
          </w:p>
        </w:tc>
        <w:tc>
          <w:tcPr>
            <w:tcW w:w="2539" w:type="pct"/>
            <w:tcBorders>
              <w:left w:val="single" w:color="000000" w:sz="4" w:space="0"/>
              <w:right w:val="single" w:color="000000" w:sz="4" w:space="0"/>
            </w:tcBorders>
            <w:vAlign w:val="center"/>
          </w:tcPr>
          <w:p>
            <w:pPr>
              <w:rPr>
                <w:rFonts w:hint="eastAsia" w:ascii="Times New Roman" w:hAnsi="Times New Roman" w:eastAsia="宋体" w:cs="Times New Roman"/>
                <w:kern w:val="2"/>
                <w:sz w:val="18"/>
                <w:szCs w:val="16"/>
                <w:lang w:val="en-US" w:eastAsia="zh-CN" w:bidi="ar-SA"/>
              </w:rPr>
            </w:pPr>
            <w:r>
              <w:rPr>
                <w:rFonts w:hint="eastAsia"/>
                <w:sz w:val="18"/>
                <w:szCs w:val="16"/>
              </w:rPr>
              <w:t>箱变维修</w:t>
            </w:r>
            <w:r>
              <w:rPr>
                <w:sz w:val="18"/>
                <w:szCs w:val="16"/>
              </w:rPr>
              <w:t>工作</w:t>
            </w:r>
          </w:p>
        </w:tc>
        <w:tc>
          <w:tcPr>
            <w:tcW w:w="413"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p>
        </w:tc>
        <w:tc>
          <w:tcPr>
            <w:tcW w:w="383"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90" w:hRule="atLeast"/>
          <w:jc w:val="center"/>
        </w:trPr>
        <w:tc>
          <w:tcPr>
            <w:tcW w:w="162"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w:t>
            </w:r>
          </w:p>
        </w:tc>
        <w:tc>
          <w:tcPr>
            <w:tcW w:w="39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sz w:val="22"/>
                <w:szCs w:val="22"/>
                <w:lang w:val="en-US" w:eastAsia="zh-CN"/>
              </w:rPr>
            </w:pPr>
          </w:p>
        </w:tc>
        <w:tc>
          <w:tcPr>
            <w:tcW w:w="689" w:type="pct"/>
            <w:tcBorders>
              <w:left w:val="single" w:color="auto" w:sz="4" w:space="0"/>
              <w:right w:val="single" w:color="000000" w:sz="4" w:space="0"/>
            </w:tcBorders>
            <w:vAlign w:val="center"/>
          </w:tcPr>
          <w:p>
            <w:pPr>
              <w:jc w:val="center"/>
              <w:rPr>
                <w:rFonts w:hint="eastAsia" w:ascii="Times New Roman" w:hAnsi="Times New Roman" w:eastAsia="宋体" w:cs="Times New Roman"/>
                <w:kern w:val="2"/>
                <w:sz w:val="18"/>
                <w:szCs w:val="16"/>
                <w:lang w:val="en-US" w:eastAsia="zh-CN" w:bidi="ar-SA"/>
              </w:rPr>
            </w:pPr>
            <w:r>
              <w:rPr>
                <w:rFonts w:hint="eastAsia"/>
                <w:sz w:val="18"/>
                <w:szCs w:val="16"/>
              </w:rPr>
              <w:t>抄表工作</w:t>
            </w:r>
          </w:p>
        </w:tc>
        <w:tc>
          <w:tcPr>
            <w:tcW w:w="2539" w:type="pct"/>
            <w:tcBorders>
              <w:left w:val="single" w:color="000000" w:sz="4" w:space="0"/>
              <w:right w:val="single" w:color="000000" w:sz="4" w:space="0"/>
            </w:tcBorders>
            <w:vAlign w:val="center"/>
          </w:tcPr>
          <w:p>
            <w:pPr>
              <w:rPr>
                <w:rFonts w:hint="eastAsia" w:ascii="Times New Roman" w:hAnsi="Times New Roman" w:eastAsia="宋体" w:cs="Times New Roman"/>
                <w:kern w:val="2"/>
                <w:sz w:val="18"/>
                <w:szCs w:val="16"/>
                <w:lang w:val="en-US" w:eastAsia="zh-CN" w:bidi="ar-SA"/>
              </w:rPr>
            </w:pPr>
            <w:r>
              <w:rPr>
                <w:rFonts w:hint="eastAsia"/>
                <w:sz w:val="18"/>
                <w:szCs w:val="16"/>
              </w:rPr>
              <w:t>全校水表抄表</w:t>
            </w:r>
            <w:r>
              <w:rPr>
                <w:rFonts w:hint="eastAsia"/>
                <w:sz w:val="18"/>
                <w:szCs w:val="16"/>
                <w:lang w:eastAsia="zh-CN"/>
              </w:rPr>
              <w:t>（</w:t>
            </w:r>
            <w:r>
              <w:rPr>
                <w:rFonts w:hint="eastAsia"/>
                <w:sz w:val="18"/>
                <w:szCs w:val="16"/>
              </w:rPr>
              <w:t>唐</w:t>
            </w:r>
            <w:r>
              <w:rPr>
                <w:sz w:val="18"/>
                <w:szCs w:val="16"/>
              </w:rPr>
              <w:t>满华</w:t>
            </w:r>
            <w:r>
              <w:rPr>
                <w:rFonts w:hint="eastAsia"/>
                <w:sz w:val="18"/>
                <w:szCs w:val="16"/>
                <w:lang w:eastAsia="zh-CN"/>
              </w:rPr>
              <w:t>）</w:t>
            </w:r>
          </w:p>
        </w:tc>
        <w:tc>
          <w:tcPr>
            <w:tcW w:w="413" w:type="pct"/>
            <w:vMerge w:val="continue"/>
            <w:tcBorders>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p>
        </w:tc>
        <w:tc>
          <w:tcPr>
            <w:tcW w:w="383" w:type="pct"/>
            <w:vMerge w:val="continue"/>
            <w:tcBorders>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790" w:hRule="atLeast"/>
          <w:jc w:val="center"/>
        </w:trPr>
        <w:tc>
          <w:tcPr>
            <w:tcW w:w="162"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395" w:type="pc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kern w:val="2"/>
                <w:sz w:val="22"/>
                <w:szCs w:val="22"/>
                <w:lang w:val="en-US" w:eastAsia="zh-CN" w:bidi="ar-SA"/>
              </w:rPr>
            </w:pPr>
            <w:r>
              <w:rPr>
                <w:rFonts w:hint="eastAsia" w:ascii="黑体" w:hAnsi="黑体" w:eastAsia="黑体" w:cs="黑体"/>
                <w:b w:val="0"/>
                <w:bCs w:val="0"/>
                <w:spacing w:val="14"/>
                <w:sz w:val="22"/>
                <w:szCs w:val="22"/>
                <w:lang w:val="en-US" w:eastAsia="zh-CN"/>
              </w:rPr>
              <w:t>餐饮部</w:t>
            </w:r>
          </w:p>
        </w:tc>
        <w:tc>
          <w:tcPr>
            <w:tcW w:w="689" w:type="pct"/>
            <w:tcBorders>
              <w:left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default"/>
                <w:sz w:val="18"/>
                <w:szCs w:val="16"/>
                <w:lang w:val="en-US" w:eastAsia="zh-CN"/>
              </w:rPr>
            </w:pPr>
            <w:r>
              <w:rPr>
                <w:rFonts w:hint="eastAsia"/>
                <w:sz w:val="18"/>
                <w:szCs w:val="16"/>
                <w:lang w:val="en-US" w:eastAsia="zh-CN"/>
              </w:rPr>
              <w:t>餐饮工作</w:t>
            </w:r>
          </w:p>
        </w:tc>
        <w:tc>
          <w:tcPr>
            <w:tcW w:w="2539" w:type="pct"/>
            <w:tcBorders>
              <w:left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18"/>
                <w:szCs w:val="16"/>
                <w:lang w:val="en-US" w:eastAsia="zh-CN"/>
              </w:rPr>
            </w:pPr>
            <w:r>
              <w:rPr>
                <w:rFonts w:hint="eastAsia"/>
                <w:sz w:val="18"/>
                <w:szCs w:val="16"/>
                <w:lang w:val="en-US" w:eastAsia="zh-CN"/>
              </w:rPr>
              <w:t>1、周二执行新的周菜单计划。（朱）</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18"/>
                <w:szCs w:val="16"/>
                <w:lang w:val="en-US" w:eastAsia="zh-CN"/>
              </w:rPr>
            </w:pPr>
            <w:r>
              <w:rPr>
                <w:rFonts w:hint="eastAsia"/>
                <w:sz w:val="18"/>
                <w:szCs w:val="16"/>
                <w:lang w:val="en-US" w:eastAsia="zh-CN"/>
              </w:rPr>
              <w:t>2、称重收银一体机试运行。（朱）</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18"/>
                <w:szCs w:val="16"/>
                <w:lang w:val="en-US" w:eastAsia="zh-CN"/>
              </w:rPr>
            </w:pPr>
            <w:r>
              <w:rPr>
                <w:rFonts w:hint="eastAsia"/>
                <w:sz w:val="18"/>
                <w:szCs w:val="16"/>
                <w:lang w:val="en-US" w:eastAsia="zh-CN"/>
              </w:rPr>
              <w:t>3、桃园食堂、松园食堂、智慧食堂延长合同的会签及签订（曹）。</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18"/>
                <w:szCs w:val="16"/>
                <w:lang w:val="en-US" w:eastAsia="zh-CN"/>
              </w:rPr>
            </w:pPr>
            <w:r>
              <w:rPr>
                <w:rFonts w:hint="eastAsia"/>
                <w:sz w:val="18"/>
                <w:szCs w:val="16"/>
                <w:lang w:val="en-US" w:eastAsia="zh-CN"/>
              </w:rPr>
              <w:t>4、教工食堂五月份配送款结算（曹）。</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18"/>
                <w:szCs w:val="16"/>
                <w:lang w:val="en-US" w:eastAsia="zh-CN"/>
              </w:rPr>
            </w:pPr>
            <w:r>
              <w:rPr>
                <w:rFonts w:hint="eastAsia"/>
                <w:sz w:val="18"/>
                <w:szCs w:val="16"/>
                <w:lang w:val="en-US" w:eastAsia="zh-CN"/>
              </w:rPr>
              <w:t>5、零陵区市场价格询价对比各配送公司发布的价格表（邓）。</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18"/>
                <w:szCs w:val="16"/>
                <w:lang w:val="en-US" w:eastAsia="zh-CN"/>
              </w:rPr>
            </w:pPr>
            <w:r>
              <w:rPr>
                <w:rFonts w:hint="eastAsia"/>
                <w:sz w:val="18"/>
                <w:szCs w:val="16"/>
                <w:lang w:val="en-US" w:eastAsia="zh-CN"/>
              </w:rPr>
              <w:t>6、筹备每学期开展一次满意度调查工作（李）</w:t>
            </w:r>
          </w:p>
        </w:tc>
        <w:tc>
          <w:tcPr>
            <w:tcW w:w="413"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r>
              <w:rPr>
                <w:rFonts w:hint="eastAsia" w:ascii="黑体" w:hAnsi="黑体" w:eastAsia="黑体" w:cs="黑体"/>
                <w:b w:val="0"/>
                <w:bCs w:val="0"/>
                <w:spacing w:val="14"/>
                <w:kern w:val="2"/>
                <w:sz w:val="21"/>
                <w:szCs w:val="21"/>
                <w:lang w:val="en-US" w:eastAsia="zh-CN" w:bidi="ar-SA"/>
              </w:rPr>
              <w:t>李俊</w:t>
            </w:r>
          </w:p>
        </w:tc>
        <w:tc>
          <w:tcPr>
            <w:tcW w:w="383" w:type="pc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kern w:val="2"/>
                <w:sz w:val="21"/>
                <w:szCs w:val="21"/>
                <w:lang w:val="en-US" w:eastAsia="zh-CN" w:bidi="ar-SA"/>
              </w:rPr>
            </w:pPr>
            <w:r>
              <w:rPr>
                <w:rFonts w:hint="eastAsia" w:ascii="黑体" w:hAnsi="黑体" w:eastAsia="黑体" w:cs="黑体"/>
                <w:b w:val="0"/>
                <w:bCs w:val="0"/>
                <w:spacing w:val="14"/>
                <w:kern w:val="2"/>
                <w:sz w:val="21"/>
                <w:szCs w:val="21"/>
                <w:lang w:val="en-US" w:eastAsia="zh-CN" w:bidi="ar-SA"/>
              </w:rPr>
              <w:t>谭明</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kern w:val="2"/>
                <w:sz w:val="18"/>
                <w:szCs w:val="16"/>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83" w:hRule="atLeast"/>
          <w:jc w:val="center"/>
        </w:trPr>
        <w:tc>
          <w:tcPr>
            <w:tcW w:w="162"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395"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sz w:val="22"/>
                <w:szCs w:val="22"/>
                <w:lang w:val="en-US" w:eastAsia="zh-CN"/>
              </w:rPr>
            </w:pPr>
            <w:r>
              <w:rPr>
                <w:rFonts w:hint="eastAsia" w:ascii="黑体" w:hAnsi="黑体" w:eastAsia="黑体" w:cs="黑体"/>
                <w:b w:val="0"/>
                <w:bCs w:val="0"/>
                <w:spacing w:val="14"/>
                <w:sz w:val="22"/>
                <w:szCs w:val="22"/>
                <w:lang w:val="en-US" w:eastAsia="zh-CN"/>
              </w:rPr>
              <w:t>医疗部</w:t>
            </w:r>
          </w:p>
        </w:tc>
        <w:tc>
          <w:tcPr>
            <w:tcW w:w="689" w:type="pct"/>
            <w:tcBorders>
              <w:left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sz w:val="18"/>
                <w:szCs w:val="16"/>
                <w:lang w:val="en-US" w:eastAsia="zh-CN"/>
              </w:rPr>
            </w:pPr>
            <w:r>
              <w:rPr>
                <w:rFonts w:hint="eastAsia"/>
                <w:sz w:val="18"/>
                <w:szCs w:val="16"/>
                <w:lang w:val="en-US" w:eastAsia="zh-CN"/>
              </w:rPr>
              <w:t>疫情医疗应急处理</w:t>
            </w:r>
          </w:p>
        </w:tc>
        <w:tc>
          <w:tcPr>
            <w:tcW w:w="2539" w:type="pct"/>
            <w:tcBorders>
              <w:left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18"/>
                <w:szCs w:val="16"/>
                <w:lang w:val="en-US" w:eastAsia="zh-CN"/>
              </w:rPr>
            </w:pPr>
            <w:r>
              <w:rPr>
                <w:rFonts w:hint="eastAsia"/>
                <w:sz w:val="18"/>
                <w:szCs w:val="16"/>
                <w:lang w:val="en-US" w:eastAsia="zh-CN"/>
              </w:rPr>
              <w:t>根据永州市、零陵区新冠肺炎疫情防控要求，做好疫情信息统计和医疗应急处理。</w:t>
            </w:r>
          </w:p>
        </w:tc>
        <w:tc>
          <w:tcPr>
            <w:tcW w:w="413"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r>
              <w:rPr>
                <w:rFonts w:hint="eastAsia" w:ascii="黑体" w:hAnsi="黑体" w:eastAsia="黑体" w:cs="黑体"/>
                <w:b w:val="0"/>
                <w:bCs w:val="0"/>
                <w:spacing w:val="14"/>
                <w:sz w:val="21"/>
                <w:szCs w:val="21"/>
                <w:lang w:val="en-US" w:eastAsia="zh-CN"/>
              </w:rPr>
              <w:t>雷娟</w:t>
            </w:r>
          </w:p>
        </w:tc>
        <w:tc>
          <w:tcPr>
            <w:tcW w:w="383" w:type="pct"/>
            <w:vMerge w:val="restart"/>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r>
              <w:rPr>
                <w:rFonts w:hint="eastAsia" w:ascii="黑体" w:hAnsi="黑体" w:eastAsia="黑体" w:cs="黑体"/>
                <w:b w:val="0"/>
                <w:bCs w:val="0"/>
                <w:spacing w:val="14"/>
                <w:kern w:val="2"/>
                <w:sz w:val="21"/>
                <w:szCs w:val="21"/>
                <w:lang w:val="en-US" w:eastAsia="zh-CN" w:bidi="ar-SA"/>
              </w:rPr>
              <w:t>谭明</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83" w:hRule="atLeast"/>
          <w:jc w:val="center"/>
        </w:trPr>
        <w:tc>
          <w:tcPr>
            <w:tcW w:w="162"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39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sz w:val="22"/>
                <w:szCs w:val="22"/>
                <w:lang w:val="en-US" w:eastAsia="zh-CN"/>
              </w:rPr>
            </w:pPr>
          </w:p>
        </w:tc>
        <w:tc>
          <w:tcPr>
            <w:tcW w:w="689" w:type="pct"/>
            <w:tcBorders>
              <w:left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sz w:val="18"/>
                <w:szCs w:val="16"/>
                <w:lang w:val="en-US" w:eastAsia="zh-CN"/>
              </w:rPr>
            </w:pPr>
            <w:r>
              <w:rPr>
                <w:rFonts w:hint="eastAsia"/>
                <w:sz w:val="18"/>
                <w:szCs w:val="16"/>
                <w:lang w:val="en-US" w:eastAsia="zh-CN"/>
              </w:rPr>
              <w:t>新生体检前期准备</w:t>
            </w:r>
          </w:p>
        </w:tc>
        <w:tc>
          <w:tcPr>
            <w:tcW w:w="2539" w:type="pct"/>
            <w:tcBorders>
              <w:left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18"/>
                <w:szCs w:val="16"/>
                <w:lang w:val="en-US" w:eastAsia="zh-CN"/>
              </w:rPr>
            </w:pPr>
            <w:r>
              <w:rPr>
                <w:rFonts w:hint="eastAsia"/>
                <w:sz w:val="18"/>
                <w:szCs w:val="16"/>
                <w:lang w:val="en-US" w:eastAsia="zh-CN"/>
              </w:rPr>
              <w:t>继续做好2021级新生体检项目中X胸片的线下询价、肺结核筛查中PPD试剂等采购前期工作。</w:t>
            </w:r>
          </w:p>
        </w:tc>
        <w:tc>
          <w:tcPr>
            <w:tcW w:w="413"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383"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83" w:hRule="atLeast"/>
          <w:jc w:val="center"/>
        </w:trPr>
        <w:tc>
          <w:tcPr>
            <w:tcW w:w="162"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2</w:t>
            </w:r>
          </w:p>
        </w:tc>
        <w:tc>
          <w:tcPr>
            <w:tcW w:w="39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sz w:val="22"/>
                <w:szCs w:val="22"/>
                <w:lang w:val="en-US" w:eastAsia="zh-CN"/>
              </w:rPr>
            </w:pPr>
          </w:p>
        </w:tc>
        <w:tc>
          <w:tcPr>
            <w:tcW w:w="689" w:type="pct"/>
            <w:tcBorders>
              <w:left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sz w:val="18"/>
                <w:szCs w:val="16"/>
                <w:lang w:val="en-US" w:eastAsia="zh-CN"/>
              </w:rPr>
            </w:pPr>
            <w:r>
              <w:rPr>
                <w:rFonts w:hint="eastAsia"/>
                <w:sz w:val="18"/>
                <w:szCs w:val="16"/>
                <w:lang w:val="en-US" w:eastAsia="zh-CN"/>
              </w:rPr>
              <w:t>财务报账</w:t>
            </w:r>
          </w:p>
        </w:tc>
        <w:tc>
          <w:tcPr>
            <w:tcW w:w="2539" w:type="pct"/>
            <w:tcBorders>
              <w:left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18"/>
                <w:szCs w:val="16"/>
                <w:lang w:val="en-US" w:eastAsia="zh-CN"/>
              </w:rPr>
            </w:pPr>
            <w:r>
              <w:rPr>
                <w:rFonts w:hint="eastAsia"/>
                <w:sz w:val="18"/>
                <w:szCs w:val="16"/>
                <w:lang w:val="en-US" w:eastAsia="zh-CN"/>
              </w:rPr>
              <w:t>根据计财处报账要求，对2020年12月份至2021年3月份两家医药公司的药品购置费进行财务结算。</w:t>
            </w:r>
          </w:p>
        </w:tc>
        <w:tc>
          <w:tcPr>
            <w:tcW w:w="413"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383"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44" w:hRule="atLeast"/>
          <w:jc w:val="center"/>
        </w:trPr>
        <w:tc>
          <w:tcPr>
            <w:tcW w:w="162"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13</w:t>
            </w:r>
          </w:p>
        </w:tc>
        <w:tc>
          <w:tcPr>
            <w:tcW w:w="39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sz w:val="22"/>
                <w:szCs w:val="22"/>
                <w:lang w:val="en-US" w:eastAsia="zh-CN"/>
              </w:rPr>
            </w:pPr>
          </w:p>
        </w:tc>
        <w:tc>
          <w:tcPr>
            <w:tcW w:w="689" w:type="pct"/>
            <w:tcBorders>
              <w:left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eastAsia"/>
                <w:sz w:val="18"/>
                <w:szCs w:val="16"/>
                <w:lang w:val="en-US" w:eastAsia="zh-CN"/>
              </w:rPr>
            </w:pPr>
            <w:r>
              <w:rPr>
                <w:rFonts w:hint="eastAsia"/>
                <w:sz w:val="18"/>
                <w:szCs w:val="16"/>
                <w:lang w:val="en-US" w:eastAsia="zh-CN"/>
              </w:rPr>
              <w:t>新医保系统升级改造</w:t>
            </w:r>
          </w:p>
        </w:tc>
        <w:tc>
          <w:tcPr>
            <w:tcW w:w="2539" w:type="pct"/>
            <w:tcBorders>
              <w:left w:val="single" w:color="000000"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sz w:val="18"/>
                <w:szCs w:val="16"/>
                <w:lang w:val="en-US" w:eastAsia="zh-CN"/>
              </w:rPr>
            </w:pPr>
            <w:r>
              <w:rPr>
                <w:rFonts w:hint="eastAsia"/>
                <w:sz w:val="18"/>
                <w:szCs w:val="16"/>
                <w:lang w:val="en-US" w:eastAsia="zh-CN"/>
              </w:rPr>
              <w:t>待和医保部门进一步沟通，明确经费来源后再进行新医保系统接口改造的合同会签和医保专用电脑升级改造的工作。</w:t>
            </w:r>
          </w:p>
        </w:tc>
        <w:tc>
          <w:tcPr>
            <w:tcW w:w="413"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383"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83" w:hRule="atLeast"/>
          <w:jc w:val="center"/>
        </w:trPr>
        <w:tc>
          <w:tcPr>
            <w:tcW w:w="162"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w:t>
            </w:r>
          </w:p>
        </w:tc>
        <w:tc>
          <w:tcPr>
            <w:tcW w:w="395"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spacing w:val="14"/>
                <w:sz w:val="22"/>
                <w:szCs w:val="22"/>
                <w:lang w:val="en-US" w:eastAsia="zh-CN"/>
              </w:rPr>
            </w:pPr>
            <w:r>
              <w:rPr>
                <w:rFonts w:hint="eastAsia" w:ascii="黑体" w:hAnsi="黑体" w:eastAsia="黑体" w:cs="黑体"/>
                <w:b w:val="0"/>
                <w:bCs w:val="0"/>
                <w:spacing w:val="14"/>
                <w:sz w:val="22"/>
                <w:szCs w:val="22"/>
                <w:lang w:val="en-US" w:eastAsia="zh-CN"/>
              </w:rPr>
              <w:t>办公室</w:t>
            </w:r>
          </w:p>
        </w:tc>
        <w:tc>
          <w:tcPr>
            <w:tcW w:w="689" w:type="pct"/>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sz w:val="18"/>
                <w:szCs w:val="16"/>
                <w:lang w:val="en-US" w:eastAsia="zh-CN"/>
              </w:rPr>
            </w:pPr>
            <w:r>
              <w:rPr>
                <w:rFonts w:hint="eastAsia"/>
                <w:sz w:val="18"/>
                <w:szCs w:val="16"/>
                <w:lang w:val="en-US" w:eastAsia="zh-CN"/>
              </w:rPr>
              <w:t>党建工作</w:t>
            </w:r>
          </w:p>
        </w:tc>
        <w:tc>
          <w:tcPr>
            <w:tcW w:w="253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sz w:val="18"/>
                <w:szCs w:val="16"/>
                <w:lang w:val="en-US" w:eastAsia="zh-CN"/>
              </w:rPr>
            </w:pPr>
            <w:r>
              <w:rPr>
                <w:rFonts w:hint="eastAsia"/>
                <w:sz w:val="18"/>
                <w:szCs w:val="16"/>
                <w:lang w:val="en-US" w:eastAsia="zh-CN"/>
              </w:rPr>
              <w:t>组织6月份主题党日活动、政治理论学习、第四次党史教育专题学习研讨会。（周2）</w:t>
            </w:r>
          </w:p>
        </w:tc>
        <w:tc>
          <w:tcPr>
            <w:tcW w:w="413"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r>
              <w:rPr>
                <w:rFonts w:hint="eastAsia" w:ascii="黑体" w:hAnsi="黑体" w:eastAsia="黑体" w:cs="黑体"/>
                <w:b w:val="0"/>
                <w:bCs w:val="0"/>
                <w:spacing w:val="14"/>
                <w:sz w:val="21"/>
                <w:szCs w:val="21"/>
                <w:lang w:val="en-US" w:eastAsia="zh-CN"/>
              </w:rPr>
              <w:t>唐艳华</w:t>
            </w:r>
          </w:p>
        </w:tc>
        <w:tc>
          <w:tcPr>
            <w:tcW w:w="38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r>
              <w:rPr>
                <w:rFonts w:hint="eastAsia" w:ascii="黑体" w:hAnsi="黑体" w:eastAsia="黑体" w:cs="黑体"/>
                <w:b w:val="0"/>
                <w:bCs w:val="0"/>
                <w:spacing w:val="14"/>
                <w:sz w:val="21"/>
                <w:szCs w:val="21"/>
                <w:lang w:val="en-US" w:eastAsia="zh-CN"/>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343" w:hRule="atLeast"/>
          <w:jc w:val="center"/>
        </w:trPr>
        <w:tc>
          <w:tcPr>
            <w:tcW w:w="162"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15</w:t>
            </w:r>
          </w:p>
        </w:tc>
        <w:tc>
          <w:tcPr>
            <w:tcW w:w="39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华文仿宋" w:hAnsi="华文仿宋" w:eastAsia="华文仿宋" w:cs="华文仿宋"/>
                <w:b w:val="0"/>
                <w:bCs w:val="0"/>
                <w:spacing w:val="14"/>
                <w:sz w:val="22"/>
                <w:szCs w:val="22"/>
                <w:lang w:val="en-US" w:eastAsia="zh-CN"/>
              </w:rPr>
            </w:pPr>
          </w:p>
        </w:tc>
        <w:tc>
          <w:tcPr>
            <w:tcW w:w="689" w:type="pct"/>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sz w:val="18"/>
                <w:szCs w:val="16"/>
                <w:lang w:val="en-US" w:eastAsia="zh-CN"/>
              </w:rPr>
            </w:pPr>
            <w:r>
              <w:rPr>
                <w:rFonts w:hint="eastAsia"/>
                <w:sz w:val="18"/>
                <w:szCs w:val="16"/>
                <w:lang w:val="en-US" w:eastAsia="zh-CN"/>
              </w:rPr>
              <w:t>行政工作</w:t>
            </w:r>
          </w:p>
        </w:tc>
        <w:tc>
          <w:tcPr>
            <w:tcW w:w="2539"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rPr>
                <w:rFonts w:hint="default"/>
                <w:sz w:val="18"/>
                <w:szCs w:val="16"/>
                <w:lang w:val="en-US" w:eastAsia="zh-CN"/>
              </w:rPr>
            </w:pPr>
            <w:r>
              <w:rPr>
                <w:rFonts w:hint="eastAsia"/>
                <w:sz w:val="18"/>
                <w:szCs w:val="16"/>
                <w:lang w:val="en-US" w:eastAsia="zh-CN"/>
              </w:rPr>
              <w:t>1、汇总</w:t>
            </w:r>
            <w:r>
              <w:rPr>
                <w:rFonts w:hint="default"/>
                <w:sz w:val="18"/>
                <w:szCs w:val="16"/>
                <w:lang w:val="en-US" w:eastAsia="zh-CN"/>
              </w:rPr>
              <w:t>后勤合作企业意见反馈的回复。（</w:t>
            </w:r>
            <w:r>
              <w:rPr>
                <w:rFonts w:hint="eastAsia"/>
                <w:sz w:val="18"/>
                <w:szCs w:val="16"/>
                <w:lang w:val="en-US" w:eastAsia="zh-CN"/>
              </w:rPr>
              <w:t>周1</w:t>
            </w:r>
            <w:r>
              <w:rPr>
                <w:rFonts w:hint="default"/>
                <w:sz w:val="18"/>
                <w:szCs w:val="16"/>
                <w:lang w:val="en-US" w:eastAsia="zh-CN"/>
              </w:rPr>
              <w:t>）</w:t>
            </w:r>
          </w:p>
          <w:p>
            <w:pPr>
              <w:keepNext w:val="0"/>
              <w:keepLines w:val="0"/>
              <w:pageBreakBefore w:val="0"/>
              <w:kinsoku/>
              <w:wordWrap/>
              <w:overflowPunct/>
              <w:topLinePunct w:val="0"/>
              <w:autoSpaceDE/>
              <w:autoSpaceDN/>
              <w:bidi w:val="0"/>
              <w:adjustRightInd/>
              <w:snapToGrid/>
              <w:spacing w:line="240" w:lineRule="auto"/>
              <w:jc w:val="left"/>
              <w:rPr>
                <w:rFonts w:hint="default"/>
                <w:sz w:val="18"/>
                <w:szCs w:val="16"/>
                <w:lang w:val="en-US" w:eastAsia="zh-CN"/>
              </w:rPr>
            </w:pPr>
            <w:r>
              <w:rPr>
                <w:rFonts w:hint="eastAsia"/>
                <w:sz w:val="18"/>
                <w:szCs w:val="16"/>
                <w:lang w:val="en-US" w:eastAsia="zh-CN"/>
              </w:rPr>
              <w:t>2</w:t>
            </w:r>
            <w:r>
              <w:rPr>
                <w:rFonts w:hint="default"/>
                <w:sz w:val="18"/>
                <w:szCs w:val="16"/>
                <w:lang w:val="en-US" w:eastAsia="zh-CN"/>
              </w:rPr>
              <w:t>、</w:t>
            </w:r>
            <w:r>
              <w:rPr>
                <w:rFonts w:hint="eastAsia"/>
                <w:sz w:val="18"/>
                <w:szCs w:val="16"/>
                <w:lang w:val="en-US" w:eastAsia="zh-CN"/>
              </w:rPr>
              <w:t>2021年职称申报情况摸底汇总。（周2）</w:t>
            </w:r>
          </w:p>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3</w:t>
            </w:r>
            <w:r>
              <w:rPr>
                <w:rFonts w:hint="default"/>
                <w:sz w:val="18"/>
                <w:szCs w:val="16"/>
                <w:lang w:val="en-US" w:eastAsia="zh-CN"/>
              </w:rPr>
              <w:t>、</w:t>
            </w:r>
            <w:r>
              <w:rPr>
                <w:rFonts w:hint="eastAsia"/>
                <w:sz w:val="18"/>
                <w:szCs w:val="16"/>
                <w:lang w:val="en-US" w:eastAsia="zh-CN"/>
              </w:rPr>
              <w:t>汇总</w:t>
            </w:r>
            <w:r>
              <w:rPr>
                <w:rFonts w:hint="default"/>
                <w:sz w:val="18"/>
                <w:szCs w:val="16"/>
                <w:lang w:val="en-US" w:eastAsia="zh-CN"/>
              </w:rPr>
              <w:t>2021年暑假前安全隐患排查</w:t>
            </w:r>
            <w:r>
              <w:rPr>
                <w:rFonts w:hint="eastAsia"/>
                <w:sz w:val="18"/>
                <w:szCs w:val="16"/>
                <w:lang w:val="en-US" w:eastAsia="zh-CN"/>
              </w:rPr>
              <w:t>表（周3）</w:t>
            </w:r>
          </w:p>
          <w:p>
            <w:pPr>
              <w:keepNext w:val="0"/>
              <w:keepLines w:val="0"/>
              <w:pageBreakBefore w:val="0"/>
              <w:kinsoku/>
              <w:wordWrap/>
              <w:overflowPunct/>
              <w:topLinePunct w:val="0"/>
              <w:autoSpaceDE/>
              <w:autoSpaceDN/>
              <w:bidi w:val="0"/>
              <w:adjustRightInd/>
              <w:snapToGrid/>
              <w:spacing w:line="240" w:lineRule="auto"/>
              <w:jc w:val="left"/>
              <w:rPr>
                <w:rFonts w:hint="eastAsia"/>
                <w:sz w:val="18"/>
                <w:szCs w:val="16"/>
                <w:lang w:val="en-US" w:eastAsia="zh-CN"/>
              </w:rPr>
            </w:pPr>
            <w:r>
              <w:rPr>
                <w:rFonts w:hint="eastAsia"/>
                <w:sz w:val="18"/>
                <w:szCs w:val="16"/>
                <w:lang w:val="en-US" w:eastAsia="zh-CN"/>
              </w:rPr>
              <w:t>4、汇总</w:t>
            </w:r>
            <w:r>
              <w:rPr>
                <w:rFonts w:hint="default"/>
                <w:sz w:val="18"/>
                <w:szCs w:val="16"/>
                <w:lang w:val="en-US" w:eastAsia="zh-CN"/>
              </w:rPr>
              <w:t>2021年上半年总结、大事记（</w:t>
            </w:r>
            <w:r>
              <w:rPr>
                <w:rFonts w:hint="eastAsia"/>
                <w:sz w:val="18"/>
                <w:szCs w:val="16"/>
                <w:lang w:val="en-US" w:eastAsia="zh-CN"/>
              </w:rPr>
              <w:t>周</w:t>
            </w:r>
            <w:r>
              <w:rPr>
                <w:rFonts w:hint="default"/>
                <w:sz w:val="18"/>
                <w:szCs w:val="16"/>
                <w:lang w:val="en-US" w:eastAsia="zh-CN"/>
              </w:rPr>
              <w:t>4）</w:t>
            </w:r>
          </w:p>
          <w:p>
            <w:pPr>
              <w:keepNext w:val="0"/>
              <w:keepLines w:val="0"/>
              <w:pageBreakBefore w:val="0"/>
              <w:numPr>
                <w:ilvl w:val="0"/>
                <w:numId w:val="0"/>
              </w:numPr>
              <w:kinsoku/>
              <w:wordWrap/>
              <w:overflowPunct/>
              <w:topLinePunct w:val="0"/>
              <w:autoSpaceDE/>
              <w:autoSpaceDN/>
              <w:bidi w:val="0"/>
              <w:adjustRightInd/>
              <w:snapToGrid/>
              <w:spacing w:line="240" w:lineRule="auto"/>
              <w:jc w:val="left"/>
              <w:rPr>
                <w:rFonts w:hint="default"/>
                <w:sz w:val="18"/>
                <w:szCs w:val="16"/>
                <w:lang w:val="en-US" w:eastAsia="zh-CN"/>
              </w:rPr>
            </w:pPr>
            <w:r>
              <w:rPr>
                <w:rFonts w:hint="eastAsia"/>
                <w:sz w:val="18"/>
                <w:szCs w:val="16"/>
                <w:lang w:val="en-US" w:eastAsia="zh-CN"/>
              </w:rPr>
              <w:t>5、补交2020年度后勤归档资料（奖牌实物）（周5）</w:t>
            </w:r>
          </w:p>
        </w:tc>
        <w:tc>
          <w:tcPr>
            <w:tcW w:w="413" w:type="pct"/>
            <w:vMerge w:val="continue"/>
            <w:tcBorders>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p>
        </w:tc>
        <w:tc>
          <w:tcPr>
            <w:tcW w:w="383"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spacing w:val="14"/>
                <w:sz w:val="21"/>
                <w:szCs w:val="21"/>
                <w:lang w:val="en-US" w:eastAsia="zh-CN"/>
              </w:rPr>
            </w:pPr>
            <w:r>
              <w:rPr>
                <w:rFonts w:hint="eastAsia" w:ascii="黑体" w:hAnsi="黑体" w:eastAsia="黑体" w:cs="黑体"/>
                <w:b w:val="0"/>
                <w:bCs w:val="0"/>
                <w:spacing w:val="14"/>
                <w:sz w:val="21"/>
                <w:szCs w:val="21"/>
                <w:lang w:val="en-US" w:eastAsia="zh-CN"/>
              </w:rPr>
              <w:t>谷利民</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sz w:val="18"/>
                <w:szCs w:val="16"/>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分管领导审核、签字。</w:t>
      </w: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p>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p>
    <w:sectPr>
      <w:headerReference r:id="rId3" w:type="default"/>
      <w:pgSz w:w="16838" w:h="11906" w:orient="landscape"/>
      <w:pgMar w:top="850" w:right="1134" w:bottom="45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BE32D7"/>
    <w:rsid w:val="07E560A1"/>
    <w:rsid w:val="07FB2D19"/>
    <w:rsid w:val="08E47EF9"/>
    <w:rsid w:val="08F76F8F"/>
    <w:rsid w:val="09592237"/>
    <w:rsid w:val="09BA15A8"/>
    <w:rsid w:val="09E96E8B"/>
    <w:rsid w:val="0A683025"/>
    <w:rsid w:val="0AA1602B"/>
    <w:rsid w:val="0AC75AB1"/>
    <w:rsid w:val="0AF525C6"/>
    <w:rsid w:val="0B1D1392"/>
    <w:rsid w:val="0B4B6E81"/>
    <w:rsid w:val="0B8343C1"/>
    <w:rsid w:val="0C1B0537"/>
    <w:rsid w:val="0C665362"/>
    <w:rsid w:val="0C8D1780"/>
    <w:rsid w:val="0CA54219"/>
    <w:rsid w:val="0CF843D6"/>
    <w:rsid w:val="0E1522F9"/>
    <w:rsid w:val="0EC4671D"/>
    <w:rsid w:val="0F2921DA"/>
    <w:rsid w:val="104F3953"/>
    <w:rsid w:val="109E5761"/>
    <w:rsid w:val="10F0056B"/>
    <w:rsid w:val="1107454D"/>
    <w:rsid w:val="115A2885"/>
    <w:rsid w:val="11626C5F"/>
    <w:rsid w:val="11695883"/>
    <w:rsid w:val="119C03B8"/>
    <w:rsid w:val="12141AAB"/>
    <w:rsid w:val="125C69A3"/>
    <w:rsid w:val="12883FA0"/>
    <w:rsid w:val="12E07CB2"/>
    <w:rsid w:val="140A5790"/>
    <w:rsid w:val="14462EB5"/>
    <w:rsid w:val="145E3932"/>
    <w:rsid w:val="14843BBA"/>
    <w:rsid w:val="148645FA"/>
    <w:rsid w:val="14BE75EF"/>
    <w:rsid w:val="151256DA"/>
    <w:rsid w:val="16434D1E"/>
    <w:rsid w:val="16564F70"/>
    <w:rsid w:val="166E3BDD"/>
    <w:rsid w:val="16C6603E"/>
    <w:rsid w:val="16D35A7B"/>
    <w:rsid w:val="175F6A81"/>
    <w:rsid w:val="179475F8"/>
    <w:rsid w:val="179538D3"/>
    <w:rsid w:val="17C414AC"/>
    <w:rsid w:val="17FE7461"/>
    <w:rsid w:val="18AF3DE4"/>
    <w:rsid w:val="190F7FC0"/>
    <w:rsid w:val="19344139"/>
    <w:rsid w:val="19AE3645"/>
    <w:rsid w:val="1A09262C"/>
    <w:rsid w:val="1A3F6799"/>
    <w:rsid w:val="1B766CEE"/>
    <w:rsid w:val="1BA105A0"/>
    <w:rsid w:val="1C442CB2"/>
    <w:rsid w:val="1C5A081B"/>
    <w:rsid w:val="1CF045FD"/>
    <w:rsid w:val="1E6F49F7"/>
    <w:rsid w:val="1ED07480"/>
    <w:rsid w:val="1F41768F"/>
    <w:rsid w:val="1F556C84"/>
    <w:rsid w:val="200D1E5C"/>
    <w:rsid w:val="206E242C"/>
    <w:rsid w:val="20A4218E"/>
    <w:rsid w:val="210E0179"/>
    <w:rsid w:val="211577EF"/>
    <w:rsid w:val="21233E79"/>
    <w:rsid w:val="21504300"/>
    <w:rsid w:val="21733EF6"/>
    <w:rsid w:val="219B7218"/>
    <w:rsid w:val="221E36D2"/>
    <w:rsid w:val="233748F8"/>
    <w:rsid w:val="23647E24"/>
    <w:rsid w:val="245B5B49"/>
    <w:rsid w:val="24F31E4F"/>
    <w:rsid w:val="25DB517C"/>
    <w:rsid w:val="260D541F"/>
    <w:rsid w:val="265578BF"/>
    <w:rsid w:val="266A1DE7"/>
    <w:rsid w:val="266A3E81"/>
    <w:rsid w:val="26897FDF"/>
    <w:rsid w:val="268C0685"/>
    <w:rsid w:val="26B7511C"/>
    <w:rsid w:val="272D65CD"/>
    <w:rsid w:val="2898686D"/>
    <w:rsid w:val="28A710CA"/>
    <w:rsid w:val="292128AE"/>
    <w:rsid w:val="29363CD3"/>
    <w:rsid w:val="29A6293B"/>
    <w:rsid w:val="2A5062B6"/>
    <w:rsid w:val="2A593ECE"/>
    <w:rsid w:val="2AE860B2"/>
    <w:rsid w:val="2B2275B4"/>
    <w:rsid w:val="2B503DF1"/>
    <w:rsid w:val="2BC85E4A"/>
    <w:rsid w:val="2C3B2B42"/>
    <w:rsid w:val="2C954DD6"/>
    <w:rsid w:val="2CA23DA8"/>
    <w:rsid w:val="2D3F32D0"/>
    <w:rsid w:val="2DCA08FF"/>
    <w:rsid w:val="2DCE3C82"/>
    <w:rsid w:val="2EF91637"/>
    <w:rsid w:val="2EFA2DEC"/>
    <w:rsid w:val="2F3076DE"/>
    <w:rsid w:val="2FB05C93"/>
    <w:rsid w:val="31781F95"/>
    <w:rsid w:val="31A8037E"/>
    <w:rsid w:val="31CC4C6F"/>
    <w:rsid w:val="32CE5BEC"/>
    <w:rsid w:val="32DA18F4"/>
    <w:rsid w:val="33770362"/>
    <w:rsid w:val="33CB5D50"/>
    <w:rsid w:val="34093176"/>
    <w:rsid w:val="34283637"/>
    <w:rsid w:val="342B057B"/>
    <w:rsid w:val="353974F4"/>
    <w:rsid w:val="3595126B"/>
    <w:rsid w:val="35EF70F5"/>
    <w:rsid w:val="36A414A8"/>
    <w:rsid w:val="36B54A39"/>
    <w:rsid w:val="36EA0488"/>
    <w:rsid w:val="36F042B8"/>
    <w:rsid w:val="37964EB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E3C5828"/>
    <w:rsid w:val="3F0D68D4"/>
    <w:rsid w:val="3F211B6A"/>
    <w:rsid w:val="3F6F7A98"/>
    <w:rsid w:val="3FCF75C9"/>
    <w:rsid w:val="407340D8"/>
    <w:rsid w:val="40FE3244"/>
    <w:rsid w:val="422F0756"/>
    <w:rsid w:val="42657E37"/>
    <w:rsid w:val="430D756E"/>
    <w:rsid w:val="43154A35"/>
    <w:rsid w:val="43502B69"/>
    <w:rsid w:val="447F5A22"/>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A05618"/>
    <w:rsid w:val="4CD24D24"/>
    <w:rsid w:val="4CFE68C9"/>
    <w:rsid w:val="4DD375E8"/>
    <w:rsid w:val="4DE616A7"/>
    <w:rsid w:val="4E1A35E9"/>
    <w:rsid w:val="4E8042F3"/>
    <w:rsid w:val="4EC63889"/>
    <w:rsid w:val="4ED205D8"/>
    <w:rsid w:val="4FEC4BD7"/>
    <w:rsid w:val="50E35173"/>
    <w:rsid w:val="51163B1F"/>
    <w:rsid w:val="51CB5BDB"/>
    <w:rsid w:val="52A26228"/>
    <w:rsid w:val="52EA6D36"/>
    <w:rsid w:val="53757D0C"/>
    <w:rsid w:val="53CA52C6"/>
    <w:rsid w:val="53F465DE"/>
    <w:rsid w:val="543348AB"/>
    <w:rsid w:val="545E1A9B"/>
    <w:rsid w:val="54717FE2"/>
    <w:rsid w:val="54BD66DE"/>
    <w:rsid w:val="54CE064D"/>
    <w:rsid w:val="55344491"/>
    <w:rsid w:val="55847232"/>
    <w:rsid w:val="558D4A11"/>
    <w:rsid w:val="55A05CA4"/>
    <w:rsid w:val="55BD74A1"/>
    <w:rsid w:val="55D024EB"/>
    <w:rsid w:val="55FD1975"/>
    <w:rsid w:val="56275A6E"/>
    <w:rsid w:val="565F3144"/>
    <w:rsid w:val="56AD2E32"/>
    <w:rsid w:val="56F03B06"/>
    <w:rsid w:val="571E2E45"/>
    <w:rsid w:val="579E2774"/>
    <w:rsid w:val="580D4D1F"/>
    <w:rsid w:val="58174CBE"/>
    <w:rsid w:val="586D3341"/>
    <w:rsid w:val="58D46C4C"/>
    <w:rsid w:val="59D86717"/>
    <w:rsid w:val="59DD1C03"/>
    <w:rsid w:val="59EF2EFF"/>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1A06DF2"/>
    <w:rsid w:val="621429B8"/>
    <w:rsid w:val="6322518C"/>
    <w:rsid w:val="633220C7"/>
    <w:rsid w:val="634A6828"/>
    <w:rsid w:val="63832936"/>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12388"/>
    <w:rsid w:val="6728707D"/>
    <w:rsid w:val="67400CFB"/>
    <w:rsid w:val="677776C4"/>
    <w:rsid w:val="678D0FDC"/>
    <w:rsid w:val="67E85BE7"/>
    <w:rsid w:val="67EE2290"/>
    <w:rsid w:val="67EF2AFF"/>
    <w:rsid w:val="68887799"/>
    <w:rsid w:val="68D547A3"/>
    <w:rsid w:val="695B6B87"/>
    <w:rsid w:val="69622951"/>
    <w:rsid w:val="6987160D"/>
    <w:rsid w:val="69D62EE4"/>
    <w:rsid w:val="6AA460E2"/>
    <w:rsid w:val="6AB07530"/>
    <w:rsid w:val="6AB15616"/>
    <w:rsid w:val="6AE26910"/>
    <w:rsid w:val="6AF04908"/>
    <w:rsid w:val="6B096F80"/>
    <w:rsid w:val="6B303DD7"/>
    <w:rsid w:val="6BB15DAE"/>
    <w:rsid w:val="6C2C15F5"/>
    <w:rsid w:val="6C34511E"/>
    <w:rsid w:val="6C3962A0"/>
    <w:rsid w:val="6C507660"/>
    <w:rsid w:val="6C5347DD"/>
    <w:rsid w:val="6C6D779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55930"/>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2</TotalTime>
  <ScaleCrop>false</ScaleCrop>
  <LinksUpToDate>false</LinksUpToDate>
  <CharactersWithSpaces>279</CharactersWithSpaces>
  <Application>WPS Office_11.1.0.10577_F1E327BC-269C-435d-A152-05C5408002CA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2021-06-21T08:07:38Z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002737AE900B424A98A5F3C04ECAE832</vt:lpwstr>
  </property>
</Properties>
</file>