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第五</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3</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29</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3</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464"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456"/>
        <w:gridCol w:w="1376"/>
        <w:gridCol w:w="2485"/>
        <w:gridCol w:w="7496"/>
        <w:gridCol w:w="1314"/>
        <w:gridCol w:w="1069"/>
        <w:gridCol w:w="1293"/>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69" w:hRule="atLeast"/>
          <w:jc w:val="center"/>
        </w:trPr>
        <w:tc>
          <w:tcPr>
            <w:tcW w:w="147"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lang w:val="en-US" w:eastAsia="zh-CN"/>
              </w:rPr>
            </w:pPr>
            <w:r>
              <w:rPr>
                <w:rFonts w:hint="eastAsia" w:ascii="黑体" w:hAnsi="黑体" w:eastAsia="黑体" w:cs="黑体"/>
                <w:sz w:val="21"/>
                <w:szCs w:val="20"/>
                <w:lang w:val="en-US" w:eastAsia="zh-CN"/>
              </w:rPr>
              <w:t>序号</w:t>
            </w:r>
          </w:p>
        </w:tc>
        <w:tc>
          <w:tcPr>
            <w:tcW w:w="444"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部门</w:t>
            </w:r>
          </w:p>
        </w:tc>
        <w:tc>
          <w:tcPr>
            <w:tcW w:w="802"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工作名称及内容</w:t>
            </w:r>
          </w:p>
        </w:tc>
        <w:tc>
          <w:tcPr>
            <w:tcW w:w="2419"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要求和目标</w:t>
            </w:r>
          </w:p>
        </w:tc>
        <w:tc>
          <w:tcPr>
            <w:tcW w:w="769"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责任人</w:t>
            </w:r>
          </w:p>
        </w:tc>
        <w:tc>
          <w:tcPr>
            <w:tcW w:w="417"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1"/>
                <w:szCs w:val="20"/>
              </w:rPr>
            </w:pPr>
            <w:r>
              <w:rPr>
                <w:rFonts w:hint="eastAsia" w:ascii="黑体" w:hAnsi="黑体" w:eastAsia="黑体" w:cs="黑体"/>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74" w:hRule="atLeast"/>
          <w:jc w:val="center"/>
        </w:trPr>
        <w:tc>
          <w:tcPr>
            <w:tcW w:w="147"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444"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802"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2419"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sz w:val="18"/>
                <w:szCs w:val="16"/>
              </w:rPr>
            </w:pP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r>
              <w:rPr>
                <w:rFonts w:hint="eastAsia" w:ascii="黑体" w:hAnsi="黑体" w:eastAsia="黑体" w:cs="黑体"/>
                <w:sz w:val="20"/>
                <w:szCs w:val="18"/>
              </w:rPr>
              <w:t>负责人</w:t>
            </w:r>
          </w:p>
        </w:tc>
        <w:tc>
          <w:tcPr>
            <w:tcW w:w="34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r>
              <w:rPr>
                <w:rFonts w:hint="eastAsia" w:ascii="黑体" w:hAnsi="黑体" w:eastAsia="黑体" w:cs="黑体"/>
                <w:sz w:val="20"/>
                <w:szCs w:val="18"/>
              </w:rPr>
              <w:t>责任领导</w:t>
            </w:r>
          </w:p>
        </w:tc>
        <w:tc>
          <w:tcPr>
            <w:tcW w:w="417"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1</w:t>
            </w:r>
          </w:p>
        </w:tc>
        <w:tc>
          <w:tcPr>
            <w:tcW w:w="444"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物管中心</w:t>
            </w: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绿化养护</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1、按照计划杂草清理</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3、病树的枯枝清理</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4、提质改造树木花草养护</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5、对树木、绿篱及花草进行施肥（树木和麦冬施有机肥）</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唐嘉忆</w:t>
            </w:r>
          </w:p>
        </w:tc>
        <w:tc>
          <w:tcPr>
            <w:tcW w:w="345"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李家年</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2"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2</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校园保洁及消杀</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主干道的落叶及时清理干净。</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加强行政办公楼、教学楼等公共区域的卫生保洁及消毒工作。</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要求加强室外保洁员对绿化带垃圾的清理及垃圾桶每次清扫后及时归位。</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每周清洗垃圾桶、擦拭宣传栏。</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周素芳</w:t>
            </w: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33"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u w:val="none"/>
                <w:lang w:val="en-US" w:eastAsia="zh-CN" w:bidi="ar"/>
              </w:rPr>
              <w:t>3</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物业管理服务招标</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color w:val="auto"/>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1、物业管理服务项目招标申报审批程序</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周素芳</w:t>
            </w:r>
          </w:p>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周小驭</w:t>
            </w: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33"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4</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学术交流中心接待</w:t>
            </w:r>
          </w:p>
        </w:tc>
        <w:tc>
          <w:tcPr>
            <w:tcW w:w="2419" w:type="pct"/>
            <w:tcBorders>
              <w:left w:val="single" w:color="000000" w:sz="4" w:space="0"/>
              <w:right w:val="single" w:color="000000" w:sz="4" w:space="0"/>
            </w:tcBorders>
            <w:vAlign w:val="center"/>
          </w:tcPr>
          <w:p>
            <w:pPr>
              <w:numPr>
                <w:ilvl w:val="0"/>
                <w:numId w:val="2"/>
              </w:numPr>
              <w:jc w:val="both"/>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完成接待工作。</w:t>
            </w:r>
          </w:p>
          <w:p>
            <w:pPr>
              <w:numPr>
                <w:ilvl w:val="0"/>
                <w:numId w:val="2"/>
              </w:numPr>
              <w:jc w:val="both"/>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员工续签合同事宜。</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周小驭</w:t>
            </w: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33"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家具购置</w:t>
            </w:r>
          </w:p>
        </w:tc>
        <w:tc>
          <w:tcPr>
            <w:tcW w:w="2419" w:type="pct"/>
            <w:tcBorders>
              <w:left w:val="single" w:color="000000" w:sz="4" w:space="0"/>
              <w:right w:val="single" w:color="000000" w:sz="4" w:space="0"/>
            </w:tcBorders>
            <w:vAlign w:val="center"/>
          </w:tcPr>
          <w:p>
            <w:pPr>
              <w:numPr>
                <w:ilvl w:val="0"/>
                <w:numId w:val="3"/>
              </w:numPr>
              <w:jc w:val="both"/>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医疗中心理疗用家具采购审批</w:t>
            </w:r>
          </w:p>
          <w:p>
            <w:pPr>
              <w:numPr>
                <w:ilvl w:val="0"/>
                <w:numId w:val="3"/>
              </w:numPr>
              <w:jc w:val="both"/>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人文学院辅导室家具采购审批</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唐嘉忆</w:t>
            </w:r>
          </w:p>
        </w:tc>
        <w:tc>
          <w:tcPr>
            <w:tcW w:w="345"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6</w:t>
            </w:r>
          </w:p>
        </w:tc>
        <w:tc>
          <w:tcPr>
            <w:tcW w:w="444"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餐饮中心</w:t>
            </w: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各食堂</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1、检查整改食药局提的要求注意各档口有没有过期产品，添加剂使用是否规范。</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2、检查食堂各档口厨房卫生。</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3、检查食堂各档口厨房水、电、气。</w:t>
            </w:r>
          </w:p>
        </w:tc>
        <w:tc>
          <w:tcPr>
            <w:tcW w:w="424"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李俊</w:t>
            </w:r>
          </w:p>
        </w:tc>
        <w:tc>
          <w:tcPr>
            <w:tcW w:w="345"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李家年</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0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采购</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kern w:val="2"/>
                <w:sz w:val="24"/>
                <w:szCs w:val="24"/>
                <w:lang w:val="en-US" w:eastAsia="zh-CN" w:bidi="ar-SA"/>
              </w:rPr>
              <w:t>了解市场价格，避免配送价格过高。</w:t>
            </w:r>
          </w:p>
        </w:tc>
        <w:tc>
          <w:tcPr>
            <w:tcW w:w="424"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93"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合同</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color w:val="auto"/>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督促审计处将智慧食堂、西餐厅资产价格审计</w:t>
            </w:r>
          </w:p>
        </w:tc>
        <w:tc>
          <w:tcPr>
            <w:tcW w:w="424"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83"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9</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default"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kern w:val="2"/>
                <w:sz w:val="24"/>
                <w:szCs w:val="24"/>
                <w:lang w:val="en-US" w:eastAsia="zh-CN" w:bidi="ar-SA"/>
              </w:rPr>
              <w:t>配送款核算</w:t>
            </w:r>
          </w:p>
        </w:tc>
        <w:tc>
          <w:tcPr>
            <w:tcW w:w="2419" w:type="pct"/>
            <w:tcBorders>
              <w:left w:val="single" w:color="000000" w:sz="4" w:space="0"/>
              <w:right w:val="single" w:color="000000" w:sz="4" w:space="0"/>
            </w:tcBorders>
            <w:vAlign w:val="center"/>
          </w:tcPr>
          <w:p>
            <w:pPr>
              <w:numPr>
                <w:ilvl w:val="0"/>
                <w:numId w:val="0"/>
              </w:numPr>
              <w:ind w:left="0" w:leftChars="0" w:firstLine="0" w:firstLineChars="0"/>
              <w:jc w:val="left"/>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kern w:val="2"/>
                <w:sz w:val="24"/>
                <w:szCs w:val="24"/>
                <w:lang w:val="en-US" w:eastAsia="zh-CN" w:bidi="ar-SA"/>
              </w:rPr>
              <w:t>对各食堂3月份配送款进行核算</w:t>
            </w:r>
          </w:p>
        </w:tc>
        <w:tc>
          <w:tcPr>
            <w:tcW w:w="424"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2"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w:t>
            </w:r>
          </w:p>
        </w:tc>
        <w:tc>
          <w:tcPr>
            <w:tcW w:w="444"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kern w:val="2"/>
                <w:sz w:val="24"/>
                <w:szCs w:val="24"/>
                <w:lang w:val="en-US" w:eastAsia="zh-CN" w:bidi="ar-SA"/>
              </w:rPr>
              <w:t>教工食堂工作</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1.厨师会议：小炒菜品每周做两个主推菜品。</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2. 广西壮族自治区靖西市中小学教师培训班27-30号用餐接待、春季综合类专场30号招聘会用餐接待（在松园食堂）。</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华文仿宋" w:hAnsi="华文仿宋" w:eastAsia="华文仿宋" w:cs="华文仿宋"/>
                <w:b w:val="0"/>
                <w:bCs w:val="0"/>
                <w:color w:val="auto"/>
                <w:spacing w:val="14"/>
                <w:sz w:val="24"/>
                <w:szCs w:val="24"/>
                <w:lang w:val="en-US" w:eastAsia="zh-CN"/>
              </w:rPr>
            </w:pPr>
            <w:r>
              <w:rPr>
                <w:rFonts w:hint="eastAsia" w:ascii="华文仿宋" w:hAnsi="华文仿宋" w:eastAsia="华文仿宋" w:cs="华文仿宋"/>
                <w:b w:val="0"/>
                <w:bCs w:val="0"/>
                <w:color w:val="auto"/>
                <w:spacing w:val="14"/>
                <w:sz w:val="24"/>
                <w:szCs w:val="24"/>
                <w:lang w:val="en-US" w:eastAsia="zh-CN"/>
              </w:rPr>
              <w:t xml:space="preserve">3.检查工作：对食堂整体的工作情况，特别是档口的食品安全、卫生安全等进行检查   </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color w:val="auto"/>
                <w:spacing w:val="14"/>
                <w:sz w:val="24"/>
                <w:szCs w:val="24"/>
                <w:lang w:val="en-US" w:eastAsia="zh-CN"/>
              </w:rPr>
              <w:t>4.包厢布局及设备设施维护更换</w:t>
            </w:r>
          </w:p>
        </w:tc>
        <w:tc>
          <w:tcPr>
            <w:tcW w:w="424" w:type="pct"/>
            <w:vMerge w:val="continue"/>
            <w:tcBorders>
              <w:left w:val="single" w:color="000000"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w:t>
            </w:r>
          </w:p>
        </w:tc>
        <w:tc>
          <w:tcPr>
            <w:tcW w:w="444"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水电中心</w:t>
            </w: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合同清理</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完成合同清理</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王艳香</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席丽琼</w:t>
            </w:r>
          </w:p>
        </w:tc>
        <w:tc>
          <w:tcPr>
            <w:tcW w:w="345"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84"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水表抄表</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完成水表抄表</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唐满华</w:t>
            </w: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84"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天然气站安全工作</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完成清明节天然气站周边防火安全工作</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席丽琼</w:t>
            </w: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14</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疫苗接种点的水电保障</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完成疫苗接种点的水电保障</w:t>
            </w:r>
          </w:p>
        </w:tc>
        <w:tc>
          <w:tcPr>
            <w:tcW w:w="424"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周宏坤</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王艳香</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席丽琼</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唐满华</w:t>
            </w:r>
          </w:p>
        </w:tc>
        <w:tc>
          <w:tcPr>
            <w:tcW w:w="345"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09"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w:t>
            </w:r>
          </w:p>
        </w:tc>
        <w:tc>
          <w:tcPr>
            <w:tcW w:w="444"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医疗中心</w:t>
            </w: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疫情医疗应急处理</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根据永州市、零陵区新冠肺炎疫情防控要求，做好疫情信息统计和医疗应急处理。</w:t>
            </w:r>
          </w:p>
        </w:tc>
        <w:tc>
          <w:tcPr>
            <w:tcW w:w="424"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雷娟</w:t>
            </w:r>
          </w:p>
        </w:tc>
        <w:tc>
          <w:tcPr>
            <w:tcW w:w="345"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王博</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肺结核追踪管理工作</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根据零陵区疾控中心肺结核防控工作要求，对各学院2020级新生肺结核PPD强阳性人员的第一阶段追踪管理资料进行催交和汇总工作，并及时进行信息上报。</w:t>
            </w:r>
          </w:p>
        </w:tc>
        <w:tc>
          <w:tcPr>
            <w:tcW w:w="42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86"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办理2021年医疗责任险</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参考2020年医疗责任保险投保方案，购买2021年医疗责任保险</w:t>
            </w:r>
          </w:p>
        </w:tc>
        <w:tc>
          <w:tcPr>
            <w:tcW w:w="42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2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18</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疫苗接种工作</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配合零陵区防控指挥部做好我校新冠肺炎疫苗接种工作</w:t>
            </w:r>
          </w:p>
        </w:tc>
        <w:tc>
          <w:tcPr>
            <w:tcW w:w="42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09"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19</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药房盘点和技术培训</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3月30日下午联合计财处、后勤对药房进行今年第一季度药房盘点，并做好医疗技术培训及月末工作总结会议。</w:t>
            </w:r>
          </w:p>
        </w:tc>
        <w:tc>
          <w:tcPr>
            <w:tcW w:w="424"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2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20</w:t>
            </w:r>
          </w:p>
        </w:tc>
        <w:tc>
          <w:tcPr>
            <w:tcW w:w="444"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办公室</w:t>
            </w: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开局项目</w:t>
            </w:r>
          </w:p>
        </w:tc>
        <w:tc>
          <w:tcPr>
            <w:tcW w:w="2419" w:type="pct"/>
            <w:tcBorders>
              <w:left w:val="single" w:color="000000" w:sz="4" w:space="0"/>
              <w:right w:val="single" w:color="000000" w:sz="4" w:space="0"/>
            </w:tcBorders>
            <w:vAlign w:val="center"/>
          </w:tcPr>
          <w:p>
            <w:pPr>
              <w:keepNext w:val="0"/>
              <w:keepLines w:val="0"/>
              <w:widowControl/>
              <w:suppressLineNumbers w:val="0"/>
              <w:jc w:val="left"/>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报送2021 年度开局项目实施方案</w:t>
            </w:r>
          </w:p>
        </w:tc>
        <w:tc>
          <w:tcPr>
            <w:tcW w:w="424"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唐艳华</w:t>
            </w:r>
          </w:p>
        </w:tc>
        <w:tc>
          <w:tcPr>
            <w:tcW w:w="345" w:type="pct"/>
            <w:vMerge w:val="restar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default" w:ascii="华文仿宋" w:hAnsi="华文仿宋" w:eastAsia="华文仿宋" w:cs="华文仿宋"/>
                <w:b w:val="0"/>
                <w:bCs w:val="0"/>
                <w:spacing w:val="14"/>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2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座谈会</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准备后勤服务工作座谈会</w:t>
            </w:r>
          </w:p>
        </w:tc>
        <w:tc>
          <w:tcPr>
            <w:tcW w:w="42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21"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22</w:t>
            </w:r>
          </w:p>
        </w:tc>
        <w:tc>
          <w:tcPr>
            <w:tcW w:w="44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疫苗接种</w:t>
            </w:r>
          </w:p>
        </w:tc>
        <w:tc>
          <w:tcPr>
            <w:tcW w:w="2419" w:type="pc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default" w:ascii="华文仿宋" w:hAnsi="华文仿宋" w:eastAsia="华文仿宋" w:cs="华文仿宋"/>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协助医疗中心做好疫苗接种工作</w:t>
            </w:r>
          </w:p>
        </w:tc>
        <w:tc>
          <w:tcPr>
            <w:tcW w:w="424"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345" w:type="pct"/>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sz w:val="24"/>
                <w:szCs w:val="24"/>
                <w:lang w:val="en-US" w:eastAsia="zh-CN"/>
              </w:rPr>
            </w:pP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黑体" w:eastAsia="黑体" w:cs="黑体"/>
                <w:sz w:val="20"/>
                <w:szCs w:val="18"/>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8" w:hRule="atLeast"/>
          <w:jc w:val="center"/>
        </w:trPr>
        <w:tc>
          <w:tcPr>
            <w:tcW w:w="147"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21</w:t>
            </w:r>
          </w:p>
        </w:tc>
        <w:tc>
          <w:tcPr>
            <w:tcW w:w="444" w:type="pc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仿宋_GB2312" w:hAnsi="仿宋_GB2312" w:eastAsia="仿宋_GB2312" w:cs="仿宋_GB2312"/>
                <w:b w:val="0"/>
                <w:bCs w:val="0"/>
                <w:spacing w:val="14"/>
                <w:sz w:val="24"/>
                <w:szCs w:val="24"/>
                <w:lang w:val="en-US" w:eastAsia="zh-CN"/>
              </w:rPr>
            </w:pPr>
            <w:r>
              <w:rPr>
                <w:rFonts w:hint="eastAsia" w:ascii="华文仿宋" w:hAnsi="华文仿宋" w:eastAsia="华文仿宋" w:cs="华文仿宋"/>
                <w:b w:val="0"/>
                <w:bCs w:val="0"/>
                <w:spacing w:val="14"/>
                <w:sz w:val="24"/>
                <w:szCs w:val="24"/>
                <w:lang w:val="en-US" w:eastAsia="zh-CN"/>
              </w:rPr>
              <w:t>房管中心</w:t>
            </w:r>
          </w:p>
        </w:tc>
        <w:tc>
          <w:tcPr>
            <w:tcW w:w="802"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青二搬迁工作</w:t>
            </w:r>
          </w:p>
        </w:tc>
        <w:tc>
          <w:tcPr>
            <w:tcW w:w="2419"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完成青二住房整体搬迁。</w:t>
            </w:r>
          </w:p>
        </w:tc>
        <w:tc>
          <w:tcPr>
            <w:tcW w:w="424"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周楚尧</w:t>
            </w:r>
          </w:p>
        </w:tc>
        <w:tc>
          <w:tcPr>
            <w:tcW w:w="345" w:type="pc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华文仿宋" w:hAnsi="华文仿宋" w:eastAsia="华文仿宋" w:cs="华文仿宋"/>
                <w:b w:val="0"/>
                <w:bCs w:val="0"/>
                <w:spacing w:val="14"/>
                <w:kern w:val="2"/>
                <w:sz w:val="24"/>
                <w:szCs w:val="24"/>
                <w:lang w:val="en-US" w:eastAsia="zh-CN" w:bidi="ar-SA"/>
              </w:rPr>
            </w:pPr>
            <w:r>
              <w:rPr>
                <w:rFonts w:hint="eastAsia" w:ascii="华文仿宋" w:hAnsi="华文仿宋" w:eastAsia="华文仿宋" w:cs="华文仿宋"/>
                <w:b w:val="0"/>
                <w:bCs w:val="0"/>
                <w:spacing w:val="14"/>
                <w:sz w:val="24"/>
                <w:szCs w:val="24"/>
                <w:lang w:val="en-US" w:eastAsia="zh-CN"/>
              </w:rPr>
              <w:t>谷利民</w:t>
            </w:r>
          </w:p>
        </w:tc>
        <w:tc>
          <w:tcPr>
            <w:tcW w:w="417"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黑体" w:hAnsi="黑体" w:eastAsia="黑体" w:cs="黑体"/>
                <w:sz w:val="20"/>
                <w:szCs w:val="18"/>
                <w:lang w:val="en-US" w:eastAsia="zh-CN"/>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451B"/>
    <w:multiLevelType w:val="singleLevel"/>
    <w:tmpl w:val="C861451B"/>
    <w:lvl w:ilvl="0" w:tentative="0">
      <w:start w:val="1"/>
      <w:numFmt w:val="decimal"/>
      <w:suff w:val="nothing"/>
      <w:lvlText w:val="%1、"/>
      <w:lvlJc w:val="left"/>
    </w:lvl>
  </w:abstractNum>
  <w:abstractNum w:abstractNumId="1">
    <w:nsid w:val="3C8BA632"/>
    <w:multiLevelType w:val="singleLevel"/>
    <w:tmpl w:val="3C8BA632"/>
    <w:lvl w:ilvl="0" w:tentative="0">
      <w:start w:val="1"/>
      <w:numFmt w:val="decimal"/>
      <w:lvlText w:val="%1."/>
      <w:lvlJc w:val="left"/>
      <w:pPr>
        <w:tabs>
          <w:tab w:val="left" w:pos="312"/>
        </w:tabs>
      </w:pPr>
    </w:lvl>
  </w:abstractNum>
  <w:abstractNum w:abstractNumId="2">
    <w:nsid w:val="78D4F54D"/>
    <w:multiLevelType w:val="singleLevel"/>
    <w:tmpl w:val="78D4F54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700F26"/>
    <w:rsid w:val="019E5BE6"/>
    <w:rsid w:val="01D325EF"/>
    <w:rsid w:val="023D2FB4"/>
    <w:rsid w:val="032F1144"/>
    <w:rsid w:val="038D7152"/>
    <w:rsid w:val="03981FC0"/>
    <w:rsid w:val="03991294"/>
    <w:rsid w:val="048B1F9A"/>
    <w:rsid w:val="050A6E60"/>
    <w:rsid w:val="05554BB4"/>
    <w:rsid w:val="05810C90"/>
    <w:rsid w:val="05BD2FB3"/>
    <w:rsid w:val="05DE2C49"/>
    <w:rsid w:val="05F650C3"/>
    <w:rsid w:val="06243ED2"/>
    <w:rsid w:val="067E5207"/>
    <w:rsid w:val="06D21C66"/>
    <w:rsid w:val="07287E9B"/>
    <w:rsid w:val="072A616A"/>
    <w:rsid w:val="07BE32D7"/>
    <w:rsid w:val="07E560A1"/>
    <w:rsid w:val="07FB2D19"/>
    <w:rsid w:val="08E47EF9"/>
    <w:rsid w:val="08F76F8F"/>
    <w:rsid w:val="09592237"/>
    <w:rsid w:val="09BA15A8"/>
    <w:rsid w:val="09E96E8B"/>
    <w:rsid w:val="09EB15D3"/>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5C69A3"/>
    <w:rsid w:val="12883FA0"/>
    <w:rsid w:val="12E07CB2"/>
    <w:rsid w:val="13E414FD"/>
    <w:rsid w:val="140A5790"/>
    <w:rsid w:val="14462EB5"/>
    <w:rsid w:val="145E3932"/>
    <w:rsid w:val="14843BBA"/>
    <w:rsid w:val="148645FA"/>
    <w:rsid w:val="14BE75EF"/>
    <w:rsid w:val="150118E9"/>
    <w:rsid w:val="151256DA"/>
    <w:rsid w:val="16434D1E"/>
    <w:rsid w:val="16564F70"/>
    <w:rsid w:val="166E3BDD"/>
    <w:rsid w:val="16C6603E"/>
    <w:rsid w:val="16CF59AB"/>
    <w:rsid w:val="175F6A81"/>
    <w:rsid w:val="179475F8"/>
    <w:rsid w:val="179538D3"/>
    <w:rsid w:val="17C414AC"/>
    <w:rsid w:val="17FE7461"/>
    <w:rsid w:val="18AF3DE4"/>
    <w:rsid w:val="19344139"/>
    <w:rsid w:val="19AE3645"/>
    <w:rsid w:val="1A09262C"/>
    <w:rsid w:val="1A3F6799"/>
    <w:rsid w:val="1AE15D0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2F8093F"/>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5F100B"/>
    <w:rsid w:val="3AE07EDC"/>
    <w:rsid w:val="3AE46045"/>
    <w:rsid w:val="3AEA26A6"/>
    <w:rsid w:val="3B3C539B"/>
    <w:rsid w:val="3B415177"/>
    <w:rsid w:val="3BA43E02"/>
    <w:rsid w:val="3BB81168"/>
    <w:rsid w:val="3BB86F22"/>
    <w:rsid w:val="3BD022C2"/>
    <w:rsid w:val="3BF42FB3"/>
    <w:rsid w:val="3C0E7406"/>
    <w:rsid w:val="3CA862E6"/>
    <w:rsid w:val="3D0A2EF3"/>
    <w:rsid w:val="3D180879"/>
    <w:rsid w:val="3D1C5745"/>
    <w:rsid w:val="3D6210B2"/>
    <w:rsid w:val="3D7E4DDE"/>
    <w:rsid w:val="3DD5683A"/>
    <w:rsid w:val="3E3861D9"/>
    <w:rsid w:val="3F0D68D4"/>
    <w:rsid w:val="3F211B6A"/>
    <w:rsid w:val="3F6F7A98"/>
    <w:rsid w:val="3FCF75C9"/>
    <w:rsid w:val="407340D8"/>
    <w:rsid w:val="40FE3244"/>
    <w:rsid w:val="422F0756"/>
    <w:rsid w:val="42657E37"/>
    <w:rsid w:val="430D756E"/>
    <w:rsid w:val="43154A35"/>
    <w:rsid w:val="43502B69"/>
    <w:rsid w:val="447F5A22"/>
    <w:rsid w:val="44BC5325"/>
    <w:rsid w:val="4523044A"/>
    <w:rsid w:val="45A43B2A"/>
    <w:rsid w:val="45B41290"/>
    <w:rsid w:val="45D82277"/>
    <w:rsid w:val="45E52D14"/>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4466CA"/>
    <w:rsid w:val="4B802D61"/>
    <w:rsid w:val="4BE93D20"/>
    <w:rsid w:val="4C1D233A"/>
    <w:rsid w:val="4C2C0677"/>
    <w:rsid w:val="4C533C9E"/>
    <w:rsid w:val="4CD24D24"/>
    <w:rsid w:val="4CFE68C9"/>
    <w:rsid w:val="4DD375E8"/>
    <w:rsid w:val="4DE616A7"/>
    <w:rsid w:val="4E1A35E9"/>
    <w:rsid w:val="4E8042F3"/>
    <w:rsid w:val="4EC63889"/>
    <w:rsid w:val="4ED205D8"/>
    <w:rsid w:val="4FEC4BD7"/>
    <w:rsid w:val="504909E5"/>
    <w:rsid w:val="50E35173"/>
    <w:rsid w:val="51163B1F"/>
    <w:rsid w:val="51CB5BDB"/>
    <w:rsid w:val="52A26228"/>
    <w:rsid w:val="52EA6D36"/>
    <w:rsid w:val="53757D0C"/>
    <w:rsid w:val="53CA52C6"/>
    <w:rsid w:val="53F465DE"/>
    <w:rsid w:val="543348AB"/>
    <w:rsid w:val="545E1A9B"/>
    <w:rsid w:val="54717FE2"/>
    <w:rsid w:val="54BD66DE"/>
    <w:rsid w:val="54CE064D"/>
    <w:rsid w:val="55344491"/>
    <w:rsid w:val="55847232"/>
    <w:rsid w:val="55881B0C"/>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8C2DAD"/>
    <w:rsid w:val="5CBB1477"/>
    <w:rsid w:val="5CE6222B"/>
    <w:rsid w:val="5D4B1818"/>
    <w:rsid w:val="5D865EFA"/>
    <w:rsid w:val="5D92475C"/>
    <w:rsid w:val="5DA54794"/>
    <w:rsid w:val="5DB33964"/>
    <w:rsid w:val="5DE33EFA"/>
    <w:rsid w:val="5E900800"/>
    <w:rsid w:val="5ECA0936"/>
    <w:rsid w:val="5F6E5176"/>
    <w:rsid w:val="5F8B35AA"/>
    <w:rsid w:val="5FBE704C"/>
    <w:rsid w:val="5FC43D6E"/>
    <w:rsid w:val="600A5625"/>
    <w:rsid w:val="601312B8"/>
    <w:rsid w:val="60A600F0"/>
    <w:rsid w:val="60F905C3"/>
    <w:rsid w:val="61002744"/>
    <w:rsid w:val="61195B6C"/>
    <w:rsid w:val="6131282F"/>
    <w:rsid w:val="61322D93"/>
    <w:rsid w:val="615E0888"/>
    <w:rsid w:val="61F73DCC"/>
    <w:rsid w:val="621429B8"/>
    <w:rsid w:val="62311908"/>
    <w:rsid w:val="6322518C"/>
    <w:rsid w:val="633220C7"/>
    <w:rsid w:val="634A6828"/>
    <w:rsid w:val="63BA3952"/>
    <w:rsid w:val="6438534D"/>
    <w:rsid w:val="646728D1"/>
    <w:rsid w:val="64B2146F"/>
    <w:rsid w:val="64BA040B"/>
    <w:rsid w:val="64E8215C"/>
    <w:rsid w:val="65153FF2"/>
    <w:rsid w:val="6545612B"/>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DA01DE"/>
    <w:rsid w:val="6AE26910"/>
    <w:rsid w:val="6AF04908"/>
    <w:rsid w:val="6B096F80"/>
    <w:rsid w:val="6B303DD7"/>
    <w:rsid w:val="6BB15DAE"/>
    <w:rsid w:val="6C2C15F5"/>
    <w:rsid w:val="6C34511E"/>
    <w:rsid w:val="6C3962A0"/>
    <w:rsid w:val="6C507660"/>
    <w:rsid w:val="6C5347DD"/>
    <w:rsid w:val="6C6C7E19"/>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8E6D3B"/>
    <w:rsid w:val="74AB7D0D"/>
    <w:rsid w:val="74D962CC"/>
    <w:rsid w:val="75355930"/>
    <w:rsid w:val="75D9105E"/>
    <w:rsid w:val="765F0D6E"/>
    <w:rsid w:val="766A5B36"/>
    <w:rsid w:val="766E6C29"/>
    <w:rsid w:val="767D66BB"/>
    <w:rsid w:val="76C92257"/>
    <w:rsid w:val="7733069E"/>
    <w:rsid w:val="7759072D"/>
    <w:rsid w:val="78185FC2"/>
    <w:rsid w:val="787C79D1"/>
    <w:rsid w:val="78B268FA"/>
    <w:rsid w:val="79316820"/>
    <w:rsid w:val="796665B7"/>
    <w:rsid w:val="79A31E28"/>
    <w:rsid w:val="79FB4792"/>
    <w:rsid w:val="7A2A66A8"/>
    <w:rsid w:val="7A540E42"/>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5</TotalTime>
  <ScaleCrop>false</ScaleCrop>
  <LinksUpToDate>false</LinksUpToDate>
  <CharactersWithSpaces>279</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2021-03-29T03:20:24Z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328F1972CCEF491287E842D06A1953B5</vt:lpwstr>
  </property>
</Properties>
</file>