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10"/>
        <w:gridCol w:w="2214"/>
        <w:gridCol w:w="7898"/>
        <w:gridCol w:w="961"/>
        <w:gridCol w:w="121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36"/>
                <w:szCs w:val="36"/>
                <w:lang w:bidi="ar"/>
              </w:rPr>
              <w:t>2021—2022学年度第一学期第</w:t>
            </w:r>
            <w:r>
              <w:rPr>
                <w:rFonts w:ascii="方正小标宋简体" w:hAnsi="方正小标宋简体" w:eastAsia="方正小标宋简体" w:cs="方正小标宋简体"/>
                <w:kern w:val="0"/>
                <w:sz w:val="36"/>
                <w:szCs w:val="36"/>
                <w:lang w:bidi="ar"/>
              </w:rPr>
              <w:t>1</w:t>
            </w:r>
            <w:r>
              <w:rPr>
                <w:rFonts w:hint="eastAsia" w:ascii="方正小标宋简体" w:hAnsi="方正小标宋简体" w:eastAsia="方正小标宋简体" w:cs="方正小标宋简体"/>
                <w:kern w:val="0"/>
                <w:sz w:val="36"/>
                <w:szCs w:val="36"/>
                <w:lang w:val="en-US" w:eastAsia="zh-CN" w:bidi="ar"/>
              </w:rPr>
              <w:t>8</w:t>
            </w:r>
            <w:r>
              <w:rPr>
                <w:rFonts w:hint="eastAsia" w:ascii="方正小标宋简体" w:hAnsi="方正小标宋简体" w:eastAsia="方正小标宋简体" w:cs="方正小标宋简体"/>
                <w:kern w:val="0"/>
                <w:sz w:val="36"/>
                <w:szCs w:val="36"/>
                <w:lang w:bidi="ar"/>
              </w:rPr>
              <w:t>周主要工作安排表（1</w:t>
            </w:r>
            <w:r>
              <w:rPr>
                <w:rFonts w:hint="eastAsia" w:ascii="方正小标宋简体" w:hAnsi="方正小标宋简体" w:eastAsia="方正小标宋简体" w:cs="方正小标宋简体"/>
                <w:kern w:val="0"/>
                <w:sz w:val="36"/>
                <w:szCs w:val="36"/>
                <w:lang w:val="en-US" w:eastAsia="zh-CN"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27</w:t>
            </w:r>
            <w:r>
              <w:rPr>
                <w:rFonts w:hint="eastAsia" w:ascii="方正小标宋简体" w:hAnsi="方正小标宋简体" w:eastAsia="方正小标宋简体" w:cs="方正小标宋简体"/>
                <w:kern w:val="0"/>
                <w:sz w:val="36"/>
                <w:szCs w:val="36"/>
                <w:lang w:bidi="ar"/>
              </w:rPr>
              <w:t>日—1</w:t>
            </w:r>
            <w:r>
              <w:rPr>
                <w:rFonts w:ascii="方正小标宋简体" w:hAnsi="方正小标宋简体" w:eastAsia="方正小标宋简体" w:cs="方正小标宋简体"/>
                <w:kern w:val="0"/>
                <w:sz w:val="36"/>
                <w:szCs w:val="36"/>
                <w:lang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31</w:t>
            </w:r>
            <w:r>
              <w:rPr>
                <w:rFonts w:hint="eastAsia" w:ascii="方正小标宋简体" w:hAnsi="方正小标宋简体" w:eastAsia="方正小标宋简体" w:cs="方正小标宋简体"/>
                <w:kern w:val="0"/>
                <w:sz w:val="36"/>
                <w:szCs w:val="36"/>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000" w:type="pct"/>
            <w:gridSpan w:val="7"/>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仿宋_GB2312"/>
                <w:sz w:val="22"/>
                <w:szCs w:val="22"/>
              </w:rPr>
            </w:pPr>
            <w:r>
              <w:rPr>
                <w:rFonts w:hint="eastAsia" w:ascii="仿宋_GB2312" w:hAnsi="宋体" w:eastAsia="仿宋_GB2312" w:cs="仿宋_GB2312"/>
                <w:kern w:val="0"/>
                <w:sz w:val="24"/>
                <w:szCs w:val="24"/>
                <w:lang w:bidi="ar"/>
              </w:rPr>
              <w:t>湖南科技学院后勤服务中心办公室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 w:type="pct"/>
            <w:vMerge w:val="restart"/>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1"/>
                <w:szCs w:val="21"/>
                <w:lang w:bidi="ar"/>
              </w:rPr>
              <w:t>序号</w:t>
            </w:r>
          </w:p>
        </w:tc>
        <w:tc>
          <w:tcPr>
            <w:tcW w:w="203" w:type="pct"/>
            <w:vMerge w:val="restart"/>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2"/>
                <w:szCs w:val="22"/>
                <w:lang w:bidi="ar"/>
              </w:rPr>
              <w:t>部门</w:t>
            </w:r>
          </w:p>
        </w:tc>
        <w:tc>
          <w:tcPr>
            <w:tcW w:w="737" w:type="pct"/>
            <w:vMerge w:val="restart"/>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2"/>
                <w:szCs w:val="22"/>
                <w:lang w:bidi="ar"/>
              </w:rPr>
              <w:t>工作名称及内容</w:t>
            </w:r>
          </w:p>
        </w:tc>
        <w:tc>
          <w:tcPr>
            <w:tcW w:w="2629" w:type="pct"/>
            <w:vMerge w:val="restart"/>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要求和目标</w:t>
            </w:r>
          </w:p>
        </w:tc>
        <w:tc>
          <w:tcPr>
            <w:tcW w:w="725" w:type="pct"/>
            <w:gridSpan w:val="2"/>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责任人</w:t>
            </w:r>
          </w:p>
        </w:tc>
        <w:tc>
          <w:tcPr>
            <w:tcW w:w="487" w:type="pct"/>
            <w:vMerge w:val="restart"/>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完成结果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 w:type="pct"/>
            <w:vMerge w:val="continue"/>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03" w:type="pct"/>
            <w:vMerge w:val="continue"/>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737" w:type="pct"/>
            <w:vMerge w:val="continue"/>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629" w:type="pct"/>
            <w:vMerge w:val="continue"/>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320" w:type="pct"/>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负责人</w:t>
            </w:r>
          </w:p>
        </w:tc>
        <w:tc>
          <w:tcPr>
            <w:tcW w:w="404" w:type="pct"/>
            <w:tcBorders>
              <w:top w:val="single" w:color="auto" w:sz="4" w:space="0"/>
              <w:bottom w:val="single" w:color="auto"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责任领导</w:t>
            </w:r>
          </w:p>
        </w:tc>
        <w:tc>
          <w:tcPr>
            <w:tcW w:w="487" w:type="pct"/>
            <w:vMerge w:val="continue"/>
            <w:tcBorders>
              <w:top w:val="single" w:color="auto" w:sz="4" w:space="0"/>
              <w:bottom w:val="single" w:color="auto" w:sz="4" w:space="0"/>
            </w:tcBorders>
            <w:shd w:val="clear" w:color="auto" w:fill="auto"/>
            <w:vAlign w:val="center"/>
          </w:tcPr>
          <w:p>
            <w:pPr>
              <w:widowControl/>
              <w:spacing w:line="240" w:lineRule="exact"/>
              <w:jc w:val="center"/>
              <w:rPr>
                <w:rFonts w:ascii="黑体" w:hAnsi="宋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 w:type="pct"/>
            <w:tcBorders>
              <w:top w:val="single" w:color="auto" w:sz="4" w:space="0"/>
              <w:bottom w:val="single" w:color="auto" w:sz="4" w:space="0"/>
            </w:tcBorders>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1</w:t>
            </w:r>
          </w:p>
        </w:tc>
        <w:tc>
          <w:tcPr>
            <w:tcW w:w="203" w:type="pct"/>
            <w:vMerge w:val="restart"/>
            <w:tcBorders>
              <w:top w:val="single" w:color="auto" w:sz="4" w:space="0"/>
              <w:bottom w:val="single" w:color="auto" w:sz="4" w:space="0"/>
            </w:tcBorders>
            <w:shd w:val="clear" w:color="auto" w:fill="auto"/>
            <w:vAlign w:val="center"/>
          </w:tcPr>
          <w:p>
            <w:pPr>
              <w:jc w:val="center"/>
              <w:textAlignment w:val="baseline"/>
              <w:rPr>
                <w:rFonts w:ascii="黑体" w:hAnsi="黑体" w:eastAsia="黑体"/>
                <w:b/>
                <w:bCs/>
                <w:sz w:val="21"/>
                <w:szCs w:val="21"/>
              </w:rPr>
            </w:pPr>
            <w:r>
              <w:rPr>
                <w:rFonts w:hint="eastAsia" w:ascii="黑体" w:hAnsi="黑体" w:eastAsia="黑体"/>
                <w:b/>
                <w:bCs/>
                <w:sz w:val="21"/>
                <w:szCs w:val="21"/>
              </w:rPr>
              <w:t>医</w:t>
            </w:r>
          </w:p>
          <w:p>
            <w:pPr>
              <w:jc w:val="center"/>
              <w:textAlignment w:val="baseline"/>
              <w:rPr>
                <w:rFonts w:ascii="黑体" w:hAnsi="黑体" w:eastAsia="黑体"/>
                <w:b/>
                <w:bCs/>
                <w:sz w:val="21"/>
                <w:szCs w:val="21"/>
              </w:rPr>
            </w:pPr>
            <w:r>
              <w:rPr>
                <w:rFonts w:hint="eastAsia" w:ascii="黑体" w:hAnsi="黑体" w:eastAsia="黑体"/>
                <w:b/>
                <w:bCs/>
                <w:sz w:val="21"/>
                <w:szCs w:val="21"/>
              </w:rPr>
              <w:t>疗</w:t>
            </w:r>
          </w:p>
          <w:p>
            <w:pPr>
              <w:jc w:val="center"/>
              <w:textAlignment w:val="baseline"/>
              <w:rPr>
                <w:rFonts w:ascii="黑体" w:hAnsi="黑体" w:eastAsia="黑体"/>
                <w:sz w:val="21"/>
                <w:szCs w:val="21"/>
              </w:rPr>
            </w:pPr>
            <w:r>
              <w:rPr>
                <w:rFonts w:hint="eastAsia" w:ascii="黑体" w:hAnsi="黑体" w:eastAsia="黑体"/>
                <w:b/>
                <w:bCs/>
                <w:sz w:val="21"/>
                <w:szCs w:val="21"/>
              </w:rPr>
              <w:t>部</w:t>
            </w:r>
          </w:p>
        </w:tc>
        <w:tc>
          <w:tcPr>
            <w:tcW w:w="737"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疫情医疗应急处理</w:t>
            </w:r>
          </w:p>
        </w:tc>
        <w:tc>
          <w:tcPr>
            <w:tcW w:w="2629" w:type="pct"/>
            <w:tcBorders>
              <w:top w:val="single" w:color="auto" w:sz="4" w:space="0"/>
              <w:bottom w:val="single" w:color="auto" w:sz="4" w:space="0"/>
            </w:tcBorders>
            <w:shd w:val="clear" w:color="auto" w:fill="auto"/>
            <w:vAlign w:val="center"/>
          </w:tcPr>
          <w:p>
            <w:pPr>
              <w:jc w:val="left"/>
              <w:textAlignment w:val="baseline"/>
              <w:rPr>
                <w:rFonts w:hint="eastAsia"/>
                <w:sz w:val="18"/>
                <w:szCs w:val="18"/>
              </w:rPr>
            </w:pPr>
            <w:r>
              <w:rPr>
                <w:rFonts w:hint="eastAsia"/>
                <w:sz w:val="18"/>
                <w:szCs w:val="18"/>
              </w:rPr>
              <w:t>根据永州市、零陵区新冠肺炎疫情防控要求，做好疫情信息统计和医疗应急处理。</w:t>
            </w:r>
          </w:p>
          <w:p>
            <w:pPr>
              <w:jc w:val="left"/>
              <w:textAlignment w:val="baseline"/>
              <w:rPr>
                <w:rFonts w:hint="default" w:ascii="Times New Roman" w:hAnsi="Times New Roman" w:eastAsia="宋体" w:cs="Times New Roman"/>
                <w:color w:val="0000FF"/>
                <w:kern w:val="2"/>
                <w:sz w:val="18"/>
                <w:szCs w:val="18"/>
                <w:lang w:val="en-US" w:eastAsia="zh-CN" w:bidi="ar-SA"/>
              </w:rPr>
            </w:pPr>
          </w:p>
        </w:tc>
        <w:tc>
          <w:tcPr>
            <w:tcW w:w="320"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雷娟</w:t>
            </w:r>
          </w:p>
        </w:tc>
        <w:tc>
          <w:tcPr>
            <w:tcW w:w="404"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谭明</w:t>
            </w:r>
          </w:p>
        </w:tc>
        <w:tc>
          <w:tcPr>
            <w:tcW w:w="487" w:type="pct"/>
            <w:tcBorders>
              <w:top w:val="single" w:color="auto" w:sz="4" w:space="0"/>
              <w:bottom w:val="single" w:color="auto" w:sz="4" w:space="0"/>
            </w:tcBorders>
            <w:shd w:val="clear" w:color="auto" w:fill="auto"/>
            <w:vAlign w:val="center"/>
          </w:tcPr>
          <w:p>
            <w:pPr>
              <w:widowControl/>
              <w:spacing w:line="240" w:lineRule="exact"/>
              <w:ind w:firstLine="180" w:firstLineChars="100"/>
              <w:rPr>
                <w:rFonts w:hint="eastAsia" w:ascii="宋体" w:hAnsi="宋体" w:eastAsia="宋体" w:cs="宋体"/>
                <w:color w:val="0000FF"/>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 w:type="pct"/>
            <w:tcBorders>
              <w:top w:val="single" w:color="auto" w:sz="4" w:space="0"/>
              <w:bottom w:val="single" w:color="auto" w:sz="4" w:space="0"/>
            </w:tcBorders>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2</w:t>
            </w:r>
          </w:p>
        </w:tc>
        <w:tc>
          <w:tcPr>
            <w:tcW w:w="203" w:type="pct"/>
            <w:vMerge w:val="continue"/>
            <w:tcBorders>
              <w:top w:val="single" w:color="auto" w:sz="4" w:space="0"/>
              <w:bottom w:val="single" w:color="auto" w:sz="4" w:space="0"/>
            </w:tcBorders>
            <w:shd w:val="clear" w:color="auto" w:fill="auto"/>
            <w:vAlign w:val="center"/>
          </w:tcPr>
          <w:p>
            <w:pPr>
              <w:jc w:val="center"/>
              <w:textAlignment w:val="baseline"/>
              <w:rPr>
                <w:rFonts w:ascii="黑体" w:hAnsi="黑体" w:eastAsia="黑体"/>
                <w:sz w:val="21"/>
                <w:szCs w:val="21"/>
              </w:rPr>
            </w:pPr>
          </w:p>
        </w:tc>
        <w:tc>
          <w:tcPr>
            <w:tcW w:w="737"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完成相关财务报账</w:t>
            </w:r>
            <w:r>
              <w:rPr>
                <w:rFonts w:hint="eastAsia"/>
                <w:sz w:val="18"/>
                <w:szCs w:val="18"/>
                <w:lang w:val="en-US" w:eastAsia="zh-CN"/>
              </w:rPr>
              <w:t>工作</w:t>
            </w:r>
          </w:p>
        </w:tc>
        <w:tc>
          <w:tcPr>
            <w:tcW w:w="2629" w:type="pct"/>
            <w:tcBorders>
              <w:top w:val="single" w:color="auto" w:sz="4" w:space="0"/>
              <w:bottom w:val="single" w:color="auto" w:sz="4" w:space="0"/>
            </w:tcBorders>
            <w:shd w:val="clear" w:color="auto" w:fill="auto"/>
            <w:vAlign w:val="center"/>
          </w:tcPr>
          <w:p>
            <w:pPr>
              <w:jc w:val="left"/>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根据学校财务报账要求，</w:t>
            </w:r>
            <w:r>
              <w:rPr>
                <w:rFonts w:hint="eastAsia"/>
                <w:sz w:val="18"/>
                <w:szCs w:val="18"/>
                <w:lang w:val="en-US" w:eastAsia="zh-CN"/>
              </w:rPr>
              <w:t>完成还未走完报账签字流程的6笔</w:t>
            </w:r>
            <w:r>
              <w:rPr>
                <w:rFonts w:hint="eastAsia"/>
                <w:sz w:val="18"/>
                <w:szCs w:val="18"/>
              </w:rPr>
              <w:t>财务报账</w:t>
            </w:r>
            <w:r>
              <w:rPr>
                <w:rFonts w:hint="eastAsia"/>
                <w:sz w:val="18"/>
                <w:szCs w:val="18"/>
                <w:lang w:val="en-US" w:eastAsia="zh-CN"/>
              </w:rPr>
              <w:t>工作</w:t>
            </w:r>
            <w:r>
              <w:rPr>
                <w:rFonts w:hint="eastAsia"/>
                <w:sz w:val="18"/>
                <w:szCs w:val="18"/>
              </w:rPr>
              <w:t>。</w:t>
            </w:r>
            <w:r>
              <w:rPr>
                <w:rFonts w:hint="eastAsia"/>
                <w:color w:val="auto"/>
                <w:sz w:val="18"/>
                <w:szCs w:val="18"/>
                <w:lang w:eastAsia="zh-CN"/>
              </w:rPr>
              <w:t>（</w:t>
            </w:r>
            <w:r>
              <w:rPr>
                <w:rFonts w:hint="eastAsia"/>
                <w:color w:val="auto"/>
                <w:sz w:val="18"/>
                <w:szCs w:val="18"/>
                <w:lang w:val="en-US" w:eastAsia="zh-CN"/>
              </w:rPr>
              <w:t>4笔工作人员的劳务费和绩效、2笔防疫经费</w:t>
            </w:r>
            <w:r>
              <w:rPr>
                <w:rFonts w:hint="eastAsia"/>
                <w:color w:val="auto"/>
                <w:sz w:val="18"/>
                <w:szCs w:val="18"/>
                <w:lang w:eastAsia="zh-CN"/>
              </w:rPr>
              <w:t>）</w:t>
            </w:r>
          </w:p>
        </w:tc>
        <w:tc>
          <w:tcPr>
            <w:tcW w:w="320"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雷娟</w:t>
            </w:r>
          </w:p>
        </w:tc>
        <w:tc>
          <w:tcPr>
            <w:tcW w:w="404"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谭明</w:t>
            </w:r>
          </w:p>
        </w:tc>
        <w:tc>
          <w:tcPr>
            <w:tcW w:w="487" w:type="pct"/>
            <w:tcBorders>
              <w:top w:val="single" w:color="auto" w:sz="4" w:space="0"/>
              <w:bottom w:val="single" w:color="auto" w:sz="4" w:space="0"/>
            </w:tcBorders>
            <w:shd w:val="clear" w:color="auto" w:fill="auto"/>
            <w:vAlign w:val="center"/>
          </w:tcPr>
          <w:p>
            <w:pPr>
              <w:widowControl/>
              <w:spacing w:line="240" w:lineRule="exact"/>
              <w:rPr>
                <w:rFonts w:hint="default" w:ascii="宋体" w:hAnsi="宋体" w:eastAsia="宋体" w:cs="宋体"/>
                <w:color w:val="0000FF"/>
                <w:kern w:val="2"/>
                <w:sz w:val="18"/>
                <w:szCs w:val="18"/>
                <w:lang w:val="en-US" w:eastAsia="zh-CN" w:bidi="ar-SA"/>
              </w:rPr>
            </w:pPr>
            <w:r>
              <w:rPr>
                <w:rFonts w:hint="eastAsia" w:ascii="宋体" w:hAnsi="宋体" w:cs="宋体"/>
                <w:color w:val="0000FF"/>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 w:type="pct"/>
            <w:tcBorders>
              <w:top w:val="single" w:color="auto" w:sz="4" w:space="0"/>
              <w:bottom w:val="single" w:color="auto" w:sz="4" w:space="0"/>
            </w:tcBorders>
            <w:shd w:val="clear" w:color="auto" w:fill="auto"/>
            <w:vAlign w:val="center"/>
          </w:tcPr>
          <w:p>
            <w:pPr>
              <w:jc w:val="center"/>
              <w:textAlignment w:val="baseline"/>
              <w:rPr>
                <w:rFonts w:hint="eastAsia" w:eastAsia="宋体"/>
                <w:sz w:val="18"/>
                <w:szCs w:val="18"/>
                <w:lang w:val="en-US" w:eastAsia="zh-CN"/>
              </w:rPr>
            </w:pPr>
            <w:r>
              <w:rPr>
                <w:rFonts w:hint="eastAsia"/>
                <w:sz w:val="18"/>
                <w:szCs w:val="18"/>
                <w:lang w:val="en-US" w:eastAsia="zh-CN"/>
              </w:rPr>
              <w:t>3</w:t>
            </w:r>
          </w:p>
        </w:tc>
        <w:tc>
          <w:tcPr>
            <w:tcW w:w="203" w:type="pct"/>
            <w:vMerge w:val="continue"/>
            <w:tcBorders>
              <w:top w:val="single" w:color="auto" w:sz="4" w:space="0"/>
              <w:bottom w:val="single" w:color="auto" w:sz="4" w:space="0"/>
            </w:tcBorders>
            <w:shd w:val="clear" w:color="auto" w:fill="auto"/>
            <w:vAlign w:val="center"/>
          </w:tcPr>
          <w:p>
            <w:pPr>
              <w:jc w:val="center"/>
              <w:textAlignment w:val="baseline"/>
              <w:rPr>
                <w:sz w:val="18"/>
                <w:szCs w:val="18"/>
              </w:rPr>
            </w:pPr>
          </w:p>
        </w:tc>
        <w:tc>
          <w:tcPr>
            <w:tcW w:w="737" w:type="pct"/>
            <w:tcBorders>
              <w:top w:val="single" w:color="auto" w:sz="4" w:space="0"/>
              <w:bottom w:val="single" w:color="auto" w:sz="4" w:space="0"/>
            </w:tcBorders>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年终月末药房盘点</w:t>
            </w:r>
          </w:p>
        </w:tc>
        <w:tc>
          <w:tcPr>
            <w:tcW w:w="2629" w:type="pct"/>
            <w:tcBorders>
              <w:top w:val="single" w:color="auto" w:sz="4" w:space="0"/>
              <w:bottom w:val="single" w:color="auto" w:sz="4" w:space="0"/>
            </w:tcBorders>
            <w:shd w:val="clear" w:color="auto" w:fill="auto"/>
            <w:vAlign w:val="center"/>
          </w:tcPr>
          <w:p>
            <w:pPr>
              <w:jc w:val="left"/>
              <w:textAlignment w:val="baseline"/>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联合学校计划财务处、后勤办公室三部门进行年终第四季度药房盘点，同时对新医保系统升级后，账上结余药品购置费总金额比旧医保系统账上多0.59元出现差额，向财务处进行情况说明。</w:t>
            </w:r>
          </w:p>
        </w:tc>
        <w:tc>
          <w:tcPr>
            <w:tcW w:w="320"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雷娟</w:t>
            </w:r>
          </w:p>
        </w:tc>
        <w:tc>
          <w:tcPr>
            <w:tcW w:w="404" w:type="pct"/>
            <w:tcBorders>
              <w:top w:val="single" w:color="auto" w:sz="4" w:space="0"/>
              <w:bottom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谭明</w:t>
            </w:r>
          </w:p>
        </w:tc>
        <w:tc>
          <w:tcPr>
            <w:tcW w:w="487" w:type="pct"/>
            <w:tcBorders>
              <w:top w:val="single" w:color="auto" w:sz="4" w:space="0"/>
              <w:bottom w:val="single" w:color="auto" w:sz="4" w:space="0"/>
            </w:tcBorders>
            <w:shd w:val="clear" w:color="auto" w:fill="auto"/>
            <w:vAlign w:val="center"/>
          </w:tcPr>
          <w:p>
            <w:pPr>
              <w:widowControl/>
              <w:spacing w:line="240" w:lineRule="exact"/>
              <w:rPr>
                <w:rFonts w:hint="default" w:ascii="宋体" w:hAnsi="宋体" w:eastAsia="宋体" w:cs="宋体"/>
                <w:color w:val="0000FF"/>
                <w:kern w:val="2"/>
                <w:sz w:val="18"/>
                <w:szCs w:val="18"/>
                <w:lang w:val="en-US" w:eastAsia="zh-CN" w:bidi="ar-SA"/>
              </w:rPr>
            </w:pPr>
            <w:r>
              <w:rPr>
                <w:rFonts w:hint="eastAsia" w:ascii="宋体" w:hAnsi="宋体" w:cs="宋体"/>
                <w:color w:val="0000FF"/>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 w:type="pct"/>
            <w:tcBorders>
              <w:top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4</w:t>
            </w:r>
          </w:p>
        </w:tc>
        <w:tc>
          <w:tcPr>
            <w:tcW w:w="203" w:type="pct"/>
            <w:vMerge w:val="continue"/>
            <w:tcBorders>
              <w:top w:val="single" w:color="auto" w:sz="4" w:space="0"/>
            </w:tcBorders>
            <w:shd w:val="clear" w:color="auto" w:fill="auto"/>
            <w:vAlign w:val="center"/>
          </w:tcPr>
          <w:p>
            <w:pPr>
              <w:jc w:val="center"/>
              <w:textAlignment w:val="baseline"/>
              <w:rPr>
                <w:sz w:val="18"/>
                <w:szCs w:val="18"/>
              </w:rPr>
            </w:pPr>
          </w:p>
        </w:tc>
        <w:tc>
          <w:tcPr>
            <w:tcW w:w="737" w:type="pct"/>
            <w:tcBorders>
              <w:top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组织参加线上视频会议</w:t>
            </w:r>
          </w:p>
        </w:tc>
        <w:tc>
          <w:tcPr>
            <w:tcW w:w="2629" w:type="pct"/>
            <w:tcBorders>
              <w:top w:val="single" w:color="auto" w:sz="4" w:space="0"/>
            </w:tcBorders>
            <w:shd w:val="clear" w:color="auto" w:fill="auto"/>
            <w:vAlign w:val="center"/>
          </w:tcPr>
          <w:p>
            <w:pPr>
              <w:jc w:val="left"/>
              <w:textAlignment w:val="baseline"/>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根据《关于召开中国高等教育学会保健医学分会2021学术年会暨八届五次全体理事会的通知》，组织全体员工于12月29日在线上（腾讯视频）参加中国高等教育学会保健医学分会会议，学习高校师生健康教育、疫情防控、医院管理等各方面经验，会后再组织学习交流。</w:t>
            </w:r>
          </w:p>
        </w:tc>
        <w:tc>
          <w:tcPr>
            <w:tcW w:w="320" w:type="pct"/>
            <w:tcBorders>
              <w:top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雷娟</w:t>
            </w:r>
          </w:p>
        </w:tc>
        <w:tc>
          <w:tcPr>
            <w:tcW w:w="404" w:type="pct"/>
            <w:tcBorders>
              <w:top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谭明</w:t>
            </w:r>
          </w:p>
        </w:tc>
        <w:tc>
          <w:tcPr>
            <w:tcW w:w="487" w:type="pct"/>
            <w:tcBorders>
              <w:top w:val="single" w:color="auto" w:sz="4" w:space="0"/>
            </w:tcBorders>
            <w:shd w:val="clear" w:color="auto" w:fill="auto"/>
            <w:vAlign w:val="center"/>
          </w:tcPr>
          <w:p>
            <w:pPr>
              <w:widowControl/>
              <w:spacing w:line="240" w:lineRule="exact"/>
              <w:rPr>
                <w:rFonts w:hint="eastAsia" w:ascii="宋体" w:hAnsi="宋体" w:cs="宋体"/>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6"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5</w:t>
            </w:r>
          </w:p>
        </w:tc>
        <w:tc>
          <w:tcPr>
            <w:tcW w:w="203" w:type="pct"/>
            <w:vMerge w:val="restart"/>
            <w:shd w:val="clear" w:color="auto" w:fill="auto"/>
            <w:vAlign w:val="center"/>
          </w:tcPr>
          <w:p>
            <w:pPr>
              <w:jc w:val="center"/>
              <w:textAlignment w:val="baseline"/>
              <w:rPr>
                <w:b/>
                <w:bCs/>
                <w:sz w:val="18"/>
                <w:szCs w:val="18"/>
              </w:rPr>
            </w:pPr>
            <w:r>
              <w:rPr>
                <w:rFonts w:hint="eastAsia"/>
                <w:b/>
                <w:bCs/>
                <w:sz w:val="18"/>
                <w:szCs w:val="18"/>
              </w:rPr>
              <w:t>饮</w:t>
            </w:r>
          </w:p>
          <w:p>
            <w:pPr>
              <w:jc w:val="center"/>
              <w:textAlignment w:val="baseline"/>
              <w:rPr>
                <w:b/>
                <w:bCs/>
                <w:sz w:val="18"/>
                <w:szCs w:val="18"/>
              </w:rPr>
            </w:pPr>
            <w:r>
              <w:rPr>
                <w:rFonts w:hint="eastAsia"/>
                <w:b/>
                <w:bCs/>
                <w:sz w:val="18"/>
                <w:szCs w:val="18"/>
              </w:rPr>
              <w:t>食</w:t>
            </w:r>
          </w:p>
          <w:p>
            <w:pPr>
              <w:jc w:val="center"/>
              <w:textAlignment w:val="baseline"/>
              <w:rPr>
                <w:b/>
                <w:bCs/>
                <w:sz w:val="18"/>
                <w:szCs w:val="18"/>
              </w:rPr>
            </w:pPr>
            <w:r>
              <w:rPr>
                <w:rFonts w:hint="eastAsia"/>
                <w:b/>
                <w:bCs/>
                <w:sz w:val="18"/>
                <w:szCs w:val="18"/>
              </w:rPr>
              <w:t>部</w:t>
            </w:r>
          </w:p>
        </w:tc>
        <w:tc>
          <w:tcPr>
            <w:tcW w:w="737"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重点工作</w:t>
            </w:r>
          </w:p>
        </w:tc>
        <w:tc>
          <w:tcPr>
            <w:tcW w:w="2629" w:type="pct"/>
            <w:shd w:val="clear" w:color="auto" w:fill="auto"/>
            <w:vAlign w:val="center"/>
          </w:tcPr>
          <w:p>
            <w:pPr>
              <w:numPr>
                <w:ilvl w:val="0"/>
                <w:numId w:val="0"/>
              </w:numPr>
              <w:jc w:val="left"/>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w:t>
            </w:r>
            <w:r>
              <w:rPr>
                <w:rFonts w:hint="default" w:ascii="Times New Roman" w:hAnsi="Times New Roman" w:eastAsia="宋体" w:cs="Times New Roman"/>
                <w:kern w:val="2"/>
                <w:sz w:val="18"/>
                <w:szCs w:val="18"/>
                <w:lang w:val="en-US" w:eastAsia="zh-CN" w:bidi="ar-SA"/>
              </w:rPr>
              <w:t>结算教工食堂6-11月配送款</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（曹）</w:t>
            </w:r>
          </w:p>
          <w:p>
            <w:pPr>
              <w:numPr>
                <w:ilvl w:val="0"/>
                <w:numId w:val="0"/>
              </w:numPr>
              <w:ind w:leftChars="0"/>
              <w:jc w:val="left"/>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2、</w:t>
            </w:r>
            <w:r>
              <w:rPr>
                <w:rFonts w:hint="default" w:ascii="Times New Roman" w:hAnsi="Times New Roman" w:eastAsia="宋体" w:cs="Times New Roman"/>
                <w:kern w:val="2"/>
                <w:sz w:val="18"/>
                <w:szCs w:val="18"/>
                <w:lang w:val="en-US" w:eastAsia="zh-CN" w:bidi="ar-SA"/>
              </w:rPr>
              <w:t>确定学校食堂物资采购配送招标方案，进行招标。（李）</w:t>
            </w:r>
          </w:p>
          <w:p>
            <w:pPr>
              <w:numPr>
                <w:ilvl w:val="0"/>
                <w:numId w:val="0"/>
              </w:numPr>
              <w:ind w:leftChars="0"/>
              <w:jc w:val="left"/>
              <w:textAlignment w:val="baseline"/>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w:t>
            </w:r>
            <w:r>
              <w:rPr>
                <w:rFonts w:hint="eastAsia"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联合工会对教工食堂满意度测评</w:t>
            </w:r>
            <w:r>
              <w:rPr>
                <w:rFonts w:hint="eastAsia" w:cs="Times New Roman"/>
                <w:kern w:val="2"/>
                <w:sz w:val="18"/>
                <w:szCs w:val="18"/>
                <w:lang w:val="en-US" w:eastAsia="zh-CN" w:bidi="ar-SA"/>
              </w:rPr>
              <w:t>,召开教职工座谈会</w:t>
            </w:r>
            <w:r>
              <w:rPr>
                <w:rFonts w:hint="default" w:ascii="Times New Roman" w:hAnsi="Times New Roman" w:eastAsia="宋体" w:cs="Times New Roman"/>
                <w:kern w:val="2"/>
                <w:sz w:val="18"/>
                <w:szCs w:val="18"/>
                <w:lang w:val="en-US" w:eastAsia="zh-CN" w:bidi="ar-SA"/>
              </w:rPr>
              <w:t>。</w:t>
            </w:r>
          </w:p>
        </w:tc>
        <w:tc>
          <w:tcPr>
            <w:tcW w:w="320"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李俊</w:t>
            </w:r>
          </w:p>
        </w:tc>
        <w:tc>
          <w:tcPr>
            <w:tcW w:w="404" w:type="pct"/>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谭明</w:t>
            </w:r>
          </w:p>
        </w:tc>
        <w:tc>
          <w:tcPr>
            <w:tcW w:w="487" w:type="pct"/>
            <w:shd w:val="clear" w:color="auto" w:fill="auto"/>
            <w:vAlign w:val="center"/>
          </w:tcPr>
          <w:p>
            <w:pPr>
              <w:widowControl/>
              <w:spacing w:line="240" w:lineRule="exact"/>
              <w:rPr>
                <w:rFonts w:hint="eastAsia" w:ascii="宋体" w:hAnsi="宋体" w:eastAsia="宋体" w:cs="宋体"/>
                <w:color w:val="0000FF"/>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w:t>
            </w:r>
          </w:p>
        </w:tc>
        <w:tc>
          <w:tcPr>
            <w:tcW w:w="203" w:type="pct"/>
            <w:vMerge w:val="continue"/>
            <w:shd w:val="clear" w:color="auto" w:fill="auto"/>
            <w:vAlign w:val="center"/>
          </w:tcPr>
          <w:p>
            <w:pPr>
              <w:jc w:val="center"/>
              <w:textAlignment w:val="baseline"/>
              <w:rPr>
                <w:b/>
                <w:bCs/>
                <w:sz w:val="18"/>
                <w:szCs w:val="18"/>
              </w:rPr>
            </w:pPr>
          </w:p>
        </w:tc>
        <w:tc>
          <w:tcPr>
            <w:tcW w:w="737" w:type="pct"/>
            <w:shd w:val="clear" w:color="auto" w:fill="auto"/>
            <w:vAlign w:val="center"/>
          </w:tcPr>
          <w:p>
            <w:pPr>
              <w:widowControl/>
              <w:spacing w:line="240" w:lineRule="exact"/>
              <w:jc w:val="center"/>
              <w:rPr>
                <w:rFonts w:hint="eastAsia" w:ascii="Times New Roman" w:hAnsi="Times New Roman" w:eastAsia="宋体" w:cs="Times New Roman"/>
                <w:kern w:val="2"/>
                <w:sz w:val="18"/>
                <w:szCs w:val="18"/>
                <w:lang w:val="en-US" w:eastAsia="zh-CN" w:bidi="ar-SA"/>
              </w:rPr>
            </w:pPr>
            <w:r>
              <w:rPr>
                <w:rFonts w:hint="eastAsia"/>
                <w:sz w:val="20"/>
                <w:szCs w:val="20"/>
                <w:lang w:val="en-US" w:eastAsia="zh-CN"/>
              </w:rPr>
              <w:t>常规工作</w:t>
            </w:r>
          </w:p>
        </w:tc>
        <w:tc>
          <w:tcPr>
            <w:tcW w:w="2629"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1、着重对大众餐及档口的食品安全、卫生安全等进行监督、检查。（邓、雷）</w:t>
            </w:r>
          </w:p>
          <w:p>
            <w:pPr>
              <w:jc w:val="left"/>
              <w:textAlignment w:val="baseline"/>
              <w:rPr>
                <w:rFonts w:hint="eastAsia"/>
                <w:sz w:val="18"/>
                <w:szCs w:val="18"/>
                <w:lang w:val="en-US" w:eastAsia="zh-CN"/>
              </w:rPr>
            </w:pPr>
            <w:r>
              <w:rPr>
                <w:rFonts w:hint="eastAsia"/>
                <w:sz w:val="18"/>
                <w:szCs w:val="18"/>
                <w:lang w:val="en-US" w:eastAsia="zh-CN"/>
              </w:rPr>
              <w:t>2、对各食堂常规检查：食品留样、备餐间操作间、冰箱卫生、情况、周边环境卫生；（邓、雷）</w:t>
            </w:r>
          </w:p>
          <w:p>
            <w:pPr>
              <w:jc w:val="left"/>
              <w:textAlignment w:val="baseline"/>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3、对家禽、肉类、果蔬进行市场询价工作。（邓）</w:t>
            </w:r>
          </w:p>
        </w:tc>
        <w:tc>
          <w:tcPr>
            <w:tcW w:w="320"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李俊</w:t>
            </w:r>
          </w:p>
        </w:tc>
        <w:tc>
          <w:tcPr>
            <w:tcW w:w="404" w:type="pct"/>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谭明</w:t>
            </w:r>
          </w:p>
        </w:tc>
        <w:tc>
          <w:tcPr>
            <w:tcW w:w="487" w:type="pct"/>
            <w:shd w:val="clear" w:color="auto" w:fill="auto"/>
            <w:vAlign w:val="center"/>
          </w:tcPr>
          <w:p>
            <w:pPr>
              <w:widowControl/>
              <w:spacing w:line="240" w:lineRule="exact"/>
              <w:jc w:val="center"/>
              <w:rPr>
                <w:rFonts w:hint="eastAsia" w:ascii="宋体" w:hAnsi="宋体" w:eastAsia="宋体" w:cs="宋体"/>
                <w:b/>
                <w:bCs/>
                <w:color w:val="0000FF"/>
                <w:spacing w:val="14"/>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16"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rPr>
              <w:t>7</w:t>
            </w:r>
          </w:p>
        </w:tc>
        <w:tc>
          <w:tcPr>
            <w:tcW w:w="203" w:type="pct"/>
            <w:vMerge w:val="restart"/>
            <w:shd w:val="clear" w:color="auto" w:fill="auto"/>
            <w:vAlign w:val="center"/>
          </w:tcPr>
          <w:p>
            <w:pPr>
              <w:jc w:val="center"/>
              <w:textAlignment w:val="baseline"/>
              <w:rPr>
                <w:b/>
                <w:bCs/>
                <w:sz w:val="18"/>
                <w:szCs w:val="18"/>
              </w:rPr>
            </w:pPr>
            <w:r>
              <w:rPr>
                <w:rFonts w:hint="eastAsia"/>
                <w:b/>
                <w:bCs/>
                <w:sz w:val="18"/>
                <w:szCs w:val="18"/>
              </w:rPr>
              <w:t>办</w:t>
            </w:r>
          </w:p>
          <w:p>
            <w:pPr>
              <w:jc w:val="center"/>
              <w:textAlignment w:val="baseline"/>
              <w:rPr>
                <w:b/>
                <w:bCs/>
                <w:sz w:val="18"/>
                <w:szCs w:val="18"/>
              </w:rPr>
            </w:pPr>
            <w:r>
              <w:rPr>
                <w:rFonts w:hint="eastAsia"/>
                <w:b/>
                <w:bCs/>
                <w:sz w:val="18"/>
                <w:szCs w:val="18"/>
              </w:rPr>
              <w:t>公</w:t>
            </w:r>
          </w:p>
          <w:p>
            <w:pPr>
              <w:jc w:val="center"/>
              <w:textAlignment w:val="baseline"/>
              <w:rPr>
                <w:b/>
                <w:bCs/>
                <w:sz w:val="18"/>
                <w:szCs w:val="18"/>
              </w:rPr>
            </w:pPr>
            <w:r>
              <w:rPr>
                <w:rFonts w:hint="eastAsia"/>
                <w:b/>
                <w:bCs/>
                <w:sz w:val="18"/>
                <w:szCs w:val="18"/>
              </w:rPr>
              <w:t>室</w:t>
            </w:r>
          </w:p>
        </w:tc>
        <w:tc>
          <w:tcPr>
            <w:tcW w:w="737"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行政工作</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重点：1、组织对驻长沙联络办目标管理考核。</w:t>
            </w:r>
          </w:p>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常规：1、进一步完善2021年度运行报告汇总。</w:t>
            </w:r>
          </w:p>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2、撰写关于我校获评为湖南省后勤协会先进会员单位的新闻稿。</w:t>
            </w:r>
            <w:bookmarkStart w:id="0" w:name="_GoBack"/>
            <w:bookmarkEnd w:id="0"/>
          </w:p>
          <w:p>
            <w:pPr>
              <w:jc w:val="left"/>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3、做好2021年度考核资料收集。</w:t>
            </w:r>
          </w:p>
        </w:tc>
        <w:tc>
          <w:tcPr>
            <w:tcW w:w="320"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易佩</w:t>
            </w:r>
          </w:p>
        </w:tc>
        <w:tc>
          <w:tcPr>
            <w:tcW w:w="404"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谷利民</w:t>
            </w:r>
          </w:p>
        </w:tc>
        <w:tc>
          <w:tcPr>
            <w:tcW w:w="487" w:type="pct"/>
            <w:shd w:val="clear" w:color="auto" w:fill="auto"/>
            <w:vAlign w:val="center"/>
          </w:tcPr>
          <w:p>
            <w:pPr>
              <w:jc w:val="center"/>
              <w:textAlignment w:val="baseline"/>
              <w:rPr>
                <w:rFonts w:hint="default" w:ascii="宋体" w:hAnsi="宋体" w:eastAsia="宋体" w:cs="宋体"/>
                <w:b/>
                <w:bCs/>
                <w:color w:val="0000FF"/>
                <w:spacing w:val="14"/>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6" w:type="pct"/>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p>
        </w:tc>
        <w:tc>
          <w:tcPr>
            <w:tcW w:w="203" w:type="pct"/>
            <w:vMerge w:val="continue"/>
            <w:shd w:val="clear" w:color="auto" w:fill="auto"/>
            <w:vAlign w:val="center"/>
          </w:tcPr>
          <w:p>
            <w:pPr>
              <w:jc w:val="center"/>
              <w:textAlignment w:val="baseline"/>
              <w:rPr>
                <w:rFonts w:hint="eastAsia"/>
                <w:b/>
                <w:bCs/>
                <w:sz w:val="18"/>
                <w:szCs w:val="18"/>
              </w:rPr>
            </w:pPr>
          </w:p>
        </w:tc>
        <w:tc>
          <w:tcPr>
            <w:tcW w:w="737"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党建工作</w:t>
            </w:r>
          </w:p>
        </w:tc>
        <w:tc>
          <w:tcPr>
            <w:tcW w:w="2629" w:type="pct"/>
            <w:shd w:val="clear" w:color="auto" w:fill="auto"/>
            <w:vAlign w:val="center"/>
          </w:tcPr>
          <w:p>
            <w:pPr>
              <w:jc w:val="left"/>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重点：1、开展2021年度意识形态及“三全育人”工作专项督促工作。</w:t>
            </w:r>
          </w:p>
          <w:p>
            <w:pPr>
              <w:jc w:val="left"/>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2、开展2021年度“服务之星”“党员示范岗”评选。</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易佩</w:t>
            </w:r>
          </w:p>
        </w:tc>
        <w:tc>
          <w:tcPr>
            <w:tcW w:w="404"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李家年</w:t>
            </w:r>
          </w:p>
        </w:tc>
        <w:tc>
          <w:tcPr>
            <w:tcW w:w="487" w:type="pct"/>
            <w:shd w:val="clear" w:color="auto" w:fill="auto"/>
            <w:vAlign w:val="center"/>
          </w:tcPr>
          <w:p>
            <w:pPr>
              <w:jc w:val="center"/>
              <w:textAlignment w:val="baseline"/>
              <w:rPr>
                <w:rFonts w:hint="default" w:ascii="宋体" w:hAnsi="宋体" w:eastAsia="宋体" w:cs="宋体"/>
                <w:b/>
                <w:bCs/>
                <w:color w:val="0000FF"/>
                <w:spacing w:val="14"/>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8</w:t>
            </w:r>
          </w:p>
        </w:tc>
        <w:tc>
          <w:tcPr>
            <w:tcW w:w="203" w:type="pct"/>
            <w:vMerge w:val="restart"/>
            <w:shd w:val="clear" w:color="auto" w:fill="auto"/>
            <w:vAlign w:val="center"/>
          </w:tcPr>
          <w:p>
            <w:pPr>
              <w:jc w:val="center"/>
              <w:textAlignment w:val="baseline"/>
              <w:rPr>
                <w:b/>
                <w:bCs/>
                <w:sz w:val="18"/>
                <w:szCs w:val="18"/>
              </w:rPr>
            </w:pPr>
            <w:r>
              <w:rPr>
                <w:rFonts w:hint="eastAsia"/>
                <w:b/>
                <w:bCs/>
                <w:sz w:val="18"/>
                <w:szCs w:val="18"/>
              </w:rPr>
              <w:t>物</w:t>
            </w:r>
          </w:p>
          <w:p>
            <w:pPr>
              <w:jc w:val="center"/>
              <w:textAlignment w:val="baseline"/>
              <w:rPr>
                <w:b/>
                <w:bCs/>
                <w:sz w:val="18"/>
                <w:szCs w:val="18"/>
              </w:rPr>
            </w:pPr>
            <w:r>
              <w:rPr>
                <w:rFonts w:hint="eastAsia"/>
                <w:b/>
                <w:bCs/>
                <w:sz w:val="18"/>
                <w:szCs w:val="18"/>
              </w:rPr>
              <w:t>业</w:t>
            </w:r>
          </w:p>
          <w:p>
            <w:pPr>
              <w:jc w:val="center"/>
              <w:textAlignment w:val="baseline"/>
              <w:rPr>
                <w:b/>
                <w:bCs/>
                <w:sz w:val="18"/>
                <w:szCs w:val="18"/>
              </w:rPr>
            </w:pPr>
            <w:r>
              <w:rPr>
                <w:rFonts w:hint="eastAsia"/>
                <w:b/>
                <w:bCs/>
                <w:sz w:val="18"/>
                <w:szCs w:val="18"/>
              </w:rPr>
              <w:t>部</w:t>
            </w: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绿化养护</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主要工作：校园植被冬季防冻工作。</w:t>
            </w:r>
          </w:p>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其他工作：2021年校庆美化摆花项目签证结算工作。</w:t>
            </w:r>
          </w:p>
          <w:p>
            <w:pPr>
              <w:jc w:val="left"/>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日常工作：1、监管日常养护工作2、监管校内巡查工作。</w:t>
            </w:r>
          </w:p>
        </w:tc>
        <w:tc>
          <w:tcPr>
            <w:tcW w:w="320"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唐嘉忆</w:t>
            </w:r>
          </w:p>
        </w:tc>
        <w:tc>
          <w:tcPr>
            <w:tcW w:w="404"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widowControl/>
              <w:spacing w:line="240" w:lineRule="exact"/>
              <w:jc w:val="center"/>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 w:type="pct"/>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9</w:t>
            </w:r>
          </w:p>
        </w:tc>
        <w:tc>
          <w:tcPr>
            <w:tcW w:w="203" w:type="pct"/>
            <w:vMerge w:val="continue"/>
            <w:shd w:val="clear" w:color="auto" w:fill="auto"/>
            <w:vAlign w:val="center"/>
          </w:tcPr>
          <w:p>
            <w:pPr>
              <w:jc w:val="center"/>
              <w:textAlignment w:val="baseline"/>
              <w:rPr>
                <w:b/>
                <w:bCs/>
                <w:sz w:val="18"/>
                <w:szCs w:val="18"/>
              </w:rPr>
            </w:pP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校园保洁及消杀</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主要工作：1、督查公共区域无白色垃圾、家属区楼道保洁等保洁工作完成情况；</w:t>
            </w:r>
          </w:p>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2、抽查学生宿舍和教室楼道卫生完成情况。</w:t>
            </w:r>
          </w:p>
          <w:p>
            <w:pPr>
              <w:jc w:val="left"/>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日常工作：监管校园保洁情况及抽查工作。</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周素芳</w:t>
            </w:r>
          </w:p>
        </w:tc>
        <w:tc>
          <w:tcPr>
            <w:tcW w:w="404" w:type="pct"/>
            <w:shd w:val="clear" w:color="auto" w:fill="auto"/>
            <w:vAlign w:val="center"/>
          </w:tcPr>
          <w:p>
            <w:pPr>
              <w:jc w:val="center"/>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jc w:val="center"/>
              <w:textAlignment w:val="baseline"/>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16"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11</w:t>
            </w:r>
          </w:p>
        </w:tc>
        <w:tc>
          <w:tcPr>
            <w:tcW w:w="203" w:type="pct"/>
            <w:vMerge w:val="continue"/>
            <w:shd w:val="clear" w:color="auto" w:fill="auto"/>
            <w:vAlign w:val="center"/>
          </w:tcPr>
          <w:p>
            <w:pPr>
              <w:jc w:val="center"/>
              <w:textAlignment w:val="baseline"/>
              <w:rPr>
                <w:b/>
                <w:bCs/>
                <w:sz w:val="18"/>
                <w:szCs w:val="18"/>
              </w:rPr>
            </w:pP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门面出租管理</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日常工作检查：1、及时核实到2022年1月30日到期合同并做好招标请示工作；</w:t>
            </w:r>
          </w:p>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2、对租赁门面进行日常检查。</w:t>
            </w:r>
          </w:p>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主要工作：1、给电信发的函在星期一通知电信负责人唐经理过来领取并回复我们具体情况；</w:t>
            </w:r>
          </w:p>
          <w:p>
            <w:pPr>
              <w:jc w:val="left"/>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2、邮政的合同已交法务，在星期一上午及时与法务唐老师沟通，督促唐老师找李校长在合同会签表签字。</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秦向军</w:t>
            </w:r>
          </w:p>
        </w:tc>
        <w:tc>
          <w:tcPr>
            <w:tcW w:w="404"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widowControl/>
              <w:spacing w:line="240" w:lineRule="exact"/>
              <w:jc w:val="center"/>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16"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12</w:t>
            </w:r>
          </w:p>
        </w:tc>
        <w:tc>
          <w:tcPr>
            <w:tcW w:w="203" w:type="pct"/>
            <w:vMerge w:val="continue"/>
            <w:shd w:val="clear" w:color="auto" w:fill="auto"/>
            <w:vAlign w:val="center"/>
          </w:tcPr>
          <w:p>
            <w:pPr>
              <w:jc w:val="center"/>
              <w:textAlignment w:val="baseline"/>
              <w:rPr>
                <w:b/>
                <w:bCs/>
                <w:sz w:val="18"/>
                <w:szCs w:val="18"/>
              </w:rPr>
            </w:pP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学术交流中心接待</w:t>
            </w:r>
          </w:p>
        </w:tc>
        <w:tc>
          <w:tcPr>
            <w:tcW w:w="2629" w:type="pct"/>
            <w:shd w:val="clear" w:color="auto" w:fill="auto"/>
            <w:vAlign w:val="center"/>
          </w:tcPr>
          <w:p>
            <w:pPr>
              <w:jc w:val="left"/>
              <w:textAlignment w:val="baseline"/>
              <w:rPr>
                <w:rFonts w:hint="default" w:cs="Times New Roman"/>
                <w:kern w:val="2"/>
                <w:sz w:val="18"/>
                <w:szCs w:val="18"/>
                <w:lang w:val="en-US" w:eastAsia="zh-CN" w:bidi="ar-SA"/>
              </w:rPr>
            </w:pPr>
            <w:r>
              <w:rPr>
                <w:rFonts w:hint="eastAsia" w:cs="Times New Roman"/>
                <w:kern w:val="2"/>
                <w:sz w:val="18"/>
                <w:szCs w:val="18"/>
                <w:lang w:val="en-US" w:eastAsia="zh-CN" w:bidi="ar-SA"/>
              </w:rPr>
              <w:t>1、正常接待，做好服务工作；2、完成年终运行报告数据的充实工作。</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周小驭</w:t>
            </w:r>
          </w:p>
        </w:tc>
        <w:tc>
          <w:tcPr>
            <w:tcW w:w="404"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widowControl/>
              <w:spacing w:line="240" w:lineRule="exact"/>
              <w:jc w:val="center"/>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13</w:t>
            </w:r>
          </w:p>
        </w:tc>
        <w:tc>
          <w:tcPr>
            <w:tcW w:w="203" w:type="pct"/>
            <w:vMerge w:val="continue"/>
            <w:shd w:val="clear" w:color="auto" w:fill="auto"/>
            <w:vAlign w:val="center"/>
          </w:tcPr>
          <w:p>
            <w:pPr>
              <w:jc w:val="center"/>
              <w:textAlignment w:val="baseline"/>
              <w:rPr>
                <w:b/>
                <w:bCs/>
                <w:sz w:val="18"/>
                <w:szCs w:val="18"/>
              </w:rPr>
            </w:pP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文明创建工作</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重点工作：确保公共区域、各楼栋内干净整洁，无烟头、白色垃圾现象，公共卫生间干净。</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周素芳</w:t>
            </w:r>
          </w:p>
        </w:tc>
        <w:tc>
          <w:tcPr>
            <w:tcW w:w="404"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jc w:val="center"/>
              <w:textAlignment w:val="baseline"/>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rPr>
              <w:t>14</w:t>
            </w:r>
          </w:p>
        </w:tc>
        <w:tc>
          <w:tcPr>
            <w:tcW w:w="203" w:type="pct"/>
            <w:vMerge w:val="restart"/>
            <w:shd w:val="clear" w:color="auto" w:fill="auto"/>
            <w:vAlign w:val="center"/>
          </w:tcPr>
          <w:p>
            <w:pPr>
              <w:jc w:val="center"/>
              <w:textAlignment w:val="baseline"/>
              <w:rPr>
                <w:b/>
                <w:bCs/>
                <w:sz w:val="18"/>
                <w:szCs w:val="18"/>
              </w:rPr>
            </w:pPr>
            <w:r>
              <w:rPr>
                <w:rFonts w:hint="eastAsia"/>
                <w:b/>
                <w:bCs/>
                <w:sz w:val="18"/>
                <w:szCs w:val="18"/>
              </w:rPr>
              <w:t>能</w:t>
            </w:r>
          </w:p>
          <w:p>
            <w:pPr>
              <w:jc w:val="center"/>
              <w:textAlignment w:val="baseline"/>
              <w:rPr>
                <w:b/>
                <w:bCs/>
                <w:sz w:val="18"/>
                <w:szCs w:val="18"/>
              </w:rPr>
            </w:pPr>
            <w:r>
              <w:rPr>
                <w:rFonts w:hint="eastAsia"/>
                <w:b/>
                <w:bCs/>
                <w:sz w:val="18"/>
                <w:szCs w:val="18"/>
              </w:rPr>
              <w:t>源</w:t>
            </w:r>
          </w:p>
          <w:p>
            <w:pPr>
              <w:jc w:val="center"/>
              <w:textAlignment w:val="baseline"/>
              <w:rPr>
                <w:b/>
                <w:bCs/>
                <w:sz w:val="18"/>
                <w:szCs w:val="18"/>
              </w:rPr>
            </w:pPr>
            <w:r>
              <w:rPr>
                <w:rFonts w:hint="eastAsia"/>
                <w:b/>
                <w:bCs/>
                <w:sz w:val="18"/>
                <w:szCs w:val="18"/>
              </w:rPr>
              <w:t>部</w:t>
            </w: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其他工作</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完成工作总结。</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王艳香</w:t>
            </w:r>
          </w:p>
        </w:tc>
        <w:tc>
          <w:tcPr>
            <w:tcW w:w="404"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jc w:val="center"/>
              <w:textAlignment w:val="baseline"/>
              <w:rPr>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15</w:t>
            </w:r>
          </w:p>
        </w:tc>
        <w:tc>
          <w:tcPr>
            <w:tcW w:w="203" w:type="pct"/>
            <w:vMerge w:val="continue"/>
            <w:shd w:val="clear" w:color="auto" w:fill="auto"/>
            <w:vAlign w:val="center"/>
          </w:tcPr>
          <w:p>
            <w:pPr>
              <w:jc w:val="left"/>
              <w:textAlignment w:val="baseline"/>
              <w:rPr>
                <w:sz w:val="18"/>
                <w:szCs w:val="18"/>
              </w:rPr>
            </w:pP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水电工作</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1、极端天气的水电维修与保障。</w:t>
            </w:r>
          </w:p>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2、极端天气学生宿舍空调和空调的运行与保障。</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周宏坤</w:t>
            </w:r>
          </w:p>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唐满华</w:t>
            </w:r>
          </w:p>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张 丹</w:t>
            </w:r>
          </w:p>
        </w:tc>
        <w:tc>
          <w:tcPr>
            <w:tcW w:w="404"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textAlignment w:val="baseline"/>
              <w:rPr>
                <w:rFonts w:hint="eastAsia"/>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rPr>
              <w:t>16</w:t>
            </w:r>
          </w:p>
        </w:tc>
        <w:tc>
          <w:tcPr>
            <w:tcW w:w="203" w:type="pct"/>
            <w:vMerge w:val="continue"/>
            <w:shd w:val="clear" w:color="auto" w:fill="auto"/>
            <w:vAlign w:val="center"/>
          </w:tcPr>
          <w:p>
            <w:pPr>
              <w:jc w:val="left"/>
              <w:textAlignment w:val="baseline"/>
              <w:rPr>
                <w:sz w:val="18"/>
                <w:szCs w:val="18"/>
              </w:rPr>
            </w:pPr>
          </w:p>
        </w:tc>
        <w:tc>
          <w:tcPr>
            <w:tcW w:w="737"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重点工作</w:t>
            </w:r>
          </w:p>
        </w:tc>
        <w:tc>
          <w:tcPr>
            <w:tcW w:w="2629" w:type="pct"/>
            <w:shd w:val="clear" w:color="auto" w:fill="auto"/>
            <w:vAlign w:val="center"/>
          </w:tcPr>
          <w:p>
            <w:pPr>
              <w:jc w:val="left"/>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完成学生烘干机安装。</w:t>
            </w:r>
          </w:p>
        </w:tc>
        <w:tc>
          <w:tcPr>
            <w:tcW w:w="320"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周宏坤</w:t>
            </w:r>
          </w:p>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张 丹</w:t>
            </w:r>
          </w:p>
        </w:tc>
        <w:tc>
          <w:tcPr>
            <w:tcW w:w="404" w:type="pct"/>
            <w:shd w:val="clear" w:color="auto" w:fill="auto"/>
            <w:vAlign w:val="center"/>
          </w:tcPr>
          <w:p>
            <w:pPr>
              <w:jc w:val="center"/>
              <w:textAlignment w:val="baseline"/>
              <w:rPr>
                <w:rFonts w:hint="eastAsia" w:cs="Times New Roman"/>
                <w:kern w:val="2"/>
                <w:sz w:val="18"/>
                <w:szCs w:val="18"/>
                <w:lang w:val="en-US" w:eastAsia="zh-CN" w:bidi="ar-SA"/>
              </w:rPr>
            </w:pPr>
            <w:r>
              <w:rPr>
                <w:rFonts w:hint="eastAsia" w:cs="Times New Roman"/>
                <w:kern w:val="2"/>
                <w:sz w:val="18"/>
                <w:szCs w:val="18"/>
                <w:lang w:val="en-US" w:eastAsia="zh-CN" w:bidi="ar-SA"/>
              </w:rPr>
              <w:t>王博</w:t>
            </w:r>
          </w:p>
        </w:tc>
        <w:tc>
          <w:tcPr>
            <w:tcW w:w="487" w:type="pct"/>
            <w:shd w:val="clear" w:color="auto" w:fill="auto"/>
            <w:vAlign w:val="center"/>
          </w:tcPr>
          <w:p>
            <w:pPr>
              <w:jc w:val="center"/>
              <w:textAlignment w:val="baseline"/>
              <w:rPr>
                <w:b/>
                <w:bCs/>
                <w:color w:val="0000FF"/>
                <w:sz w:val="18"/>
                <w:szCs w:val="18"/>
              </w:rPr>
            </w:pPr>
          </w:p>
        </w:tc>
      </w:tr>
    </w:tbl>
    <w:p>
      <w:pPr>
        <w:rPr>
          <w:rFonts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p/>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F63D2"/>
    <w:rsid w:val="06BF63D2"/>
    <w:rsid w:val="276F4C20"/>
    <w:rsid w:val="30FA0DB9"/>
    <w:rsid w:val="521932FC"/>
    <w:rsid w:val="72F859D2"/>
    <w:rsid w:val="77512F80"/>
    <w:rsid w:val="7DBE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2021-12-27T02:16:00Z</dcterms:created>
  <dc:creator>心问口口问心</dc:creator>
  <lastModifiedBy>心问口口问心</lastModifiedBy>
  <dcterms:modified xsi:type="dcterms:W3CDTF">2021-12-28T01:28:00Z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509E6E6CB70D4EFDA0FAF86B70D5DA1B</vt:lpwstr>
  </property>
</Properties>
</file>