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color w:val="FF0000"/>
          <w:spacing w:val="-20"/>
          <w:sz w:val="90"/>
          <w:szCs w:val="80"/>
        </w:rPr>
      </w:pPr>
      <w:r>
        <w:rPr>
          <w:rFonts w:hint="eastAsia" w:ascii="宋体" w:hAnsi="宋体"/>
          <w:b/>
          <w:color w:val="FF0000"/>
          <w:spacing w:val="-20"/>
          <w:sz w:val="90"/>
          <w:szCs w:val="80"/>
        </w:rPr>
        <w:t>湖南科技学院教务处</w:t>
      </w:r>
    </w:p>
    <w:p>
      <w:pPr>
        <w:spacing w:line="60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color w:val="FF0000"/>
        </w:rPr>
        <mc:AlternateContent>
          <mc:Choice Requires="wpg">
            <w:drawing>
              <wp:inline distT="0" distB="0" distL="114300" distR="114300">
                <wp:extent cx="7465060" cy="297180"/>
                <wp:effectExtent l="0" t="0" r="0" b="0"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7465060" cy="297180"/>
                          <a:chOff x="0" y="0"/>
                          <a:chExt cx="11756" cy="468"/>
                        </a:xfrm>
                      </wpg:grpSpPr>
                      <wps:wsp>
                        <wps:cNvPr id="1" name="图片 3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11756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2" name="直线 4"/>
                        <wps:cNvCnPr/>
                        <wps:spPr>
                          <a:xfrm flipV="1">
                            <a:off x="0" y="156"/>
                            <a:ext cx="8460" cy="1"/>
                          </a:xfrm>
                          <a:prstGeom prst="line">
                            <a:avLst/>
                          </a:prstGeom>
                          <a:ln w="57150" cap="flat" cmpd="thickThin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23.4pt;width:587.8pt;" coordsize="11756,468" o:gfxdata="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HMoKXHWAAAABQEA&#10;AA8AAAAAAAAAAQAgAAAAIgAAAGRycy9kb3ducmV2LnhtbFBLAQIUABQAAAAIAIdO4kBh79NbxwIA&#10;AMsGAAAOAAAAAAAAAAEAIAAAACUBAABkcnMvZTJvRG9jLnhtbFBLBQYAAAAABgAGAFkBAABeBgAA&#10;AAA=&#10;">
                <o:lock v:ext="edit" rotation="t" aspectratio="f"/>
                <v:rect id="图片 3" o:spid="_x0000_s1026" o:spt="1" style="position:absolute;left:0;top:0;height:468;width:11756;" filled="f" stroked="f" coordsize="21600,21600" o:gfxdata="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OClN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t"/>
                </v:rect>
                <v:line id="直线 4" o:spid="_x0000_s1026" o:spt="20" style="position:absolute;left:0;top:156;flip:y;height:1;width:8460;" filled="f" stroked="t" coordsize="21600,21600" o:gfxdata="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rjNG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4.5pt" color="#FF0000" linestyle="thickThin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widowControl/>
        <w:spacing w:line="640" w:lineRule="exact"/>
        <w:jc w:val="center"/>
        <w:rPr>
          <w:rFonts w:hint="eastAsia" w:asciiTheme="minorEastAsia" w:hAnsiTheme="minorEastAsia" w:eastAsiaTheme="minorEastAsia" w:cstheme="minorEastAsia"/>
          <w:b/>
          <w:bCs/>
          <w:spacing w:val="8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8"/>
          <w:sz w:val="44"/>
          <w:szCs w:val="44"/>
        </w:rPr>
        <w:t>关于推荐2023-2027年湖南省普通本科高校</w:t>
      </w:r>
    </w:p>
    <w:p>
      <w:pPr>
        <w:widowControl/>
        <w:spacing w:line="640" w:lineRule="exact"/>
        <w:jc w:val="center"/>
        <w:rPr>
          <w:rFonts w:hint="eastAsia" w:asciiTheme="minorEastAsia" w:hAnsiTheme="minorEastAsia" w:eastAsiaTheme="minorEastAsia" w:cstheme="minorEastAsia"/>
          <w:b/>
          <w:bCs/>
          <w:spacing w:val="8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8"/>
          <w:sz w:val="44"/>
          <w:szCs w:val="44"/>
          <w:lang w:eastAsia="zh-CN"/>
        </w:rPr>
        <w:t>教学指导委员会委员候选人的通知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楷体_GB2312" w:eastAsia="仿宋_GB2312" w:cs="楷体_GB2312"/>
          <w:sz w:val="30"/>
          <w:szCs w:val="30"/>
          <w:lang w:eastAsia="zh-CN"/>
        </w:rPr>
      </w:pPr>
      <w:r>
        <w:rPr>
          <w:rFonts w:hint="eastAsia" w:ascii="仿宋_GB2312" w:hAnsi="楷体_GB2312" w:eastAsia="仿宋_GB2312" w:cs="楷体_GB2312"/>
          <w:sz w:val="30"/>
          <w:szCs w:val="30"/>
          <w:lang w:eastAsia="zh-CN"/>
        </w:rPr>
        <w:t>各教学学院及机关职能部门：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楷体_GB2312" w:eastAsia="仿宋_GB2312" w:cs="楷体_GB2312"/>
          <w:sz w:val="30"/>
          <w:szCs w:val="30"/>
        </w:rPr>
      </w:pPr>
      <w:r>
        <w:rPr>
          <w:rFonts w:hint="eastAsia" w:ascii="仿宋_GB2312" w:hAnsi="楷体_GB2312" w:eastAsia="仿宋_GB2312" w:cs="楷体_GB2312"/>
          <w:sz w:val="30"/>
          <w:szCs w:val="30"/>
        </w:rPr>
        <w:t>为深入贯彻落实党的二十大精神，加强我校本科教学工作宏观管理和分类指导，充分发挥专家组织对高等教育教学改革的研究、咨询和指导作用，根据湖南省教育厅下发的《关于推荐 2023-2027年湖南省普通本科高校教学指导委员会委员候选人的通知》(附件1),经研究，面向学校</w:t>
      </w:r>
      <w:r>
        <w:rPr>
          <w:rFonts w:hint="eastAsia" w:ascii="仿宋_GB2312" w:hAnsi="楷体_GB2312" w:eastAsia="仿宋_GB2312" w:cs="楷体_GB2312"/>
          <w:sz w:val="30"/>
          <w:szCs w:val="30"/>
          <w:lang w:eastAsia="zh-CN"/>
        </w:rPr>
        <w:t>的教学</w:t>
      </w:r>
      <w:r>
        <w:rPr>
          <w:rFonts w:hint="eastAsia" w:ascii="仿宋_GB2312" w:hAnsi="楷体_GB2312" w:eastAsia="仿宋_GB2312" w:cs="楷体_GB2312"/>
          <w:sz w:val="30"/>
          <w:szCs w:val="30"/>
        </w:rPr>
        <w:t>学院和机关职能部门遴选2023-2027年湖南省普通本科高校教学指导委员会委员候选人。具体实施办法如下。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楷体_GB2312" w:eastAsia="仿宋_GB2312" w:cs="楷体_GB2312"/>
          <w:sz w:val="30"/>
          <w:szCs w:val="30"/>
        </w:rPr>
      </w:pPr>
      <w:r>
        <w:rPr>
          <w:rFonts w:hint="eastAsia" w:ascii="仿宋_GB2312" w:hAnsi="楷体_GB2312" w:eastAsia="仿宋_GB2312" w:cs="楷体_GB2312"/>
          <w:sz w:val="30"/>
          <w:szCs w:val="30"/>
        </w:rPr>
        <w:t>一 、遴选条件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楷体_GB2312" w:eastAsia="仿宋_GB2312" w:cs="楷体_GB2312"/>
          <w:sz w:val="30"/>
          <w:szCs w:val="30"/>
        </w:rPr>
      </w:pPr>
      <w:r>
        <w:rPr>
          <w:rFonts w:hint="eastAsia" w:ascii="仿宋_GB2312" w:hAnsi="楷体_GB2312" w:eastAsia="仿宋_GB2312" w:cs="楷体_GB2312"/>
          <w:sz w:val="30"/>
          <w:szCs w:val="30"/>
        </w:rPr>
        <w:t>1.政治立场坚定，能够全面贯彻党的教育方针，深刻理解高</w:t>
      </w:r>
      <w:r>
        <w:rPr>
          <w:rFonts w:hint="eastAsia" w:ascii="仿宋_GB2312" w:hAnsi="楷体_GB2312" w:eastAsia="仿宋_GB2312" w:cs="楷体_GB2312"/>
          <w:sz w:val="30"/>
          <w:szCs w:val="30"/>
          <w:lang w:eastAsia="zh-CN"/>
        </w:rPr>
        <w:t>等教育有关政策，遵纪守法，为人正直，办事公道。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楷体_GB2312" w:eastAsia="仿宋_GB2312" w:cs="楷体_GB2312"/>
          <w:sz w:val="30"/>
          <w:szCs w:val="30"/>
          <w:lang w:eastAsia="zh-CN"/>
        </w:rPr>
      </w:pPr>
      <w:r>
        <w:rPr>
          <w:rFonts w:hint="eastAsia" w:ascii="仿宋_GB2312" w:hAnsi="楷体_GB2312" w:eastAsia="仿宋_GB2312" w:cs="楷体_GB2312"/>
          <w:sz w:val="30"/>
          <w:szCs w:val="30"/>
        </w:rPr>
        <w:t>2.从事本学科专业教学工作，学风端正，教学能力强、学术造诣</w:t>
      </w:r>
      <w:r>
        <w:rPr>
          <w:rFonts w:hint="eastAsia" w:ascii="仿宋_GB2312" w:hAnsi="楷体_GB2312" w:eastAsia="仿宋_GB2312" w:cs="楷体_GB2312"/>
          <w:sz w:val="30"/>
          <w:szCs w:val="30"/>
          <w:lang w:eastAsia="zh-CN"/>
        </w:rPr>
        <w:t>高，教学或教学管理等相关工作经验丰富。委员应具有正高级职称。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楷体_GB2312" w:eastAsia="仿宋_GB2312" w:cs="楷体_GB2312"/>
          <w:sz w:val="30"/>
          <w:szCs w:val="30"/>
        </w:rPr>
      </w:pPr>
      <w:r>
        <w:rPr>
          <w:rFonts w:hint="eastAsia" w:ascii="仿宋_GB2312" w:hAnsi="楷体_GB2312" w:eastAsia="仿宋_GB2312" w:cs="楷体_GB2312"/>
          <w:sz w:val="30"/>
          <w:szCs w:val="30"/>
        </w:rPr>
        <w:t>3.热心本科教学，乐于奉献，熟悉本科教育教学和人才培养工作，近五年来坚持为本科生上课，教育部高等学校教学指导委员会委员、国家级一流专业建设点和一流课程负责人、教学名师、教学成果奖获得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楷体_GB2312" w:eastAsia="仿宋_GB2312" w:cs="楷体_GB2312"/>
          <w:sz w:val="30"/>
          <w:szCs w:val="30"/>
        </w:rPr>
      </w:pPr>
      <w:r>
        <w:rPr>
          <w:rFonts w:hint="eastAsia" w:ascii="仿宋_GB2312" w:hAnsi="楷体_GB2312" w:eastAsia="仿宋_GB2312" w:cs="楷体_GB2312"/>
          <w:sz w:val="30"/>
          <w:szCs w:val="30"/>
        </w:rPr>
        <w:t>4.教学管理工作经验丰富，组织协调能力较强。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楷体_GB2312" w:eastAsia="仿宋_GB2312" w:cs="楷体_GB2312"/>
          <w:sz w:val="30"/>
          <w:szCs w:val="30"/>
          <w:lang w:eastAsia="zh-CN"/>
        </w:rPr>
      </w:pPr>
      <w:r>
        <w:rPr>
          <w:rFonts w:hint="eastAsia" w:ascii="仿宋_GB2312" w:hAnsi="楷体_GB2312" w:eastAsia="仿宋_GB2312" w:cs="楷体_GB2312"/>
          <w:sz w:val="30"/>
          <w:szCs w:val="30"/>
        </w:rPr>
        <w:t>5.身心健康，年龄原则上不超过55周岁，教育部高等学校</w:t>
      </w:r>
      <w:r>
        <w:rPr>
          <w:rFonts w:hint="eastAsia" w:ascii="仿宋_GB2312" w:hAnsi="楷体_GB2312" w:eastAsia="仿宋_GB2312" w:cs="楷体_GB2312"/>
          <w:sz w:val="30"/>
          <w:szCs w:val="30"/>
          <w:lang w:eastAsia="zh-CN"/>
        </w:rPr>
        <w:t>教学指导委员会委员年龄可适当放宽。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楷体_GB2312" w:eastAsia="仿宋_GB2312" w:cs="楷体_GB2312"/>
          <w:sz w:val="30"/>
          <w:szCs w:val="30"/>
        </w:rPr>
      </w:pPr>
      <w:r>
        <w:rPr>
          <w:rFonts w:hint="eastAsia" w:ascii="仿宋_GB2312" w:hAnsi="楷体_GB2312" w:eastAsia="仿宋_GB2312" w:cs="楷体_GB2312"/>
          <w:sz w:val="30"/>
          <w:szCs w:val="30"/>
        </w:rPr>
        <w:t>二、 遴选方式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楷体_GB2312" w:eastAsia="仿宋_GB2312" w:cs="楷体_GB2312"/>
          <w:sz w:val="30"/>
          <w:szCs w:val="30"/>
        </w:rPr>
      </w:pPr>
      <w:r>
        <w:rPr>
          <w:rFonts w:hint="eastAsia" w:ascii="仿宋_GB2312" w:hAnsi="楷体_GB2312" w:eastAsia="仿宋_GB2312" w:cs="楷体_GB2312"/>
          <w:sz w:val="30"/>
          <w:szCs w:val="30"/>
        </w:rPr>
        <w:t>1.按照省厅通知要求，我校可为每个省级教学指导委员会推荐专家1名。请各</w:t>
      </w:r>
      <w:r>
        <w:rPr>
          <w:rFonts w:hint="eastAsia" w:ascii="仿宋_GB2312" w:hAnsi="楷体_GB2312" w:eastAsia="仿宋_GB2312" w:cs="楷体_GB2312"/>
          <w:sz w:val="30"/>
          <w:szCs w:val="30"/>
          <w:lang w:eastAsia="zh-CN"/>
        </w:rPr>
        <w:t>教学</w:t>
      </w:r>
      <w:r>
        <w:rPr>
          <w:rFonts w:hint="eastAsia" w:ascii="仿宋_GB2312" w:hAnsi="楷体_GB2312" w:eastAsia="仿宋_GB2312" w:cs="楷体_GB2312"/>
          <w:sz w:val="30"/>
          <w:szCs w:val="30"/>
        </w:rPr>
        <w:t>学院和机关职能部门组织符合条件的教师积极申报，学校将从申报者中择优推荐。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楷体_GB2312" w:eastAsia="仿宋_GB2312" w:cs="楷体_GB2312"/>
          <w:sz w:val="30"/>
          <w:szCs w:val="30"/>
        </w:rPr>
      </w:pPr>
      <w:r>
        <w:rPr>
          <w:rFonts w:hint="eastAsia" w:ascii="仿宋_GB2312" w:hAnsi="楷体_GB2312" w:eastAsia="仿宋_GB2312" w:cs="楷体_GB2312"/>
          <w:sz w:val="30"/>
          <w:szCs w:val="30"/>
        </w:rPr>
        <w:t>2</w:t>
      </w:r>
      <w:r>
        <w:rPr>
          <w:rFonts w:hint="eastAsia" w:ascii="仿宋_GB2312" w:hAnsi="楷体_GB2312" w:eastAsia="仿宋_GB2312" w:cs="楷体_GB2312"/>
          <w:sz w:val="30"/>
          <w:szCs w:val="30"/>
          <w:lang w:eastAsia="zh-CN"/>
        </w:rPr>
        <w:t>.</w:t>
      </w:r>
      <w:r>
        <w:rPr>
          <w:rFonts w:hint="eastAsia" w:ascii="仿宋_GB2312" w:hAnsi="楷体_GB2312" w:eastAsia="仿宋_GB2312" w:cs="楷体_GB2312"/>
          <w:sz w:val="30"/>
          <w:szCs w:val="30"/>
        </w:rPr>
        <w:t>申报者应对照省厅通知要求，认真填写《2023-2027年湖南省普通本科高校教学指导委员会委员候选人推荐表》(附件2) 和《2023-2027年湖南省普通本科高校教学指导委员会委员候选人推荐汇总表》(附件3)。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楷体_GB2312" w:eastAsia="仿宋_GB2312" w:cs="楷体_GB2312"/>
          <w:sz w:val="30"/>
          <w:szCs w:val="30"/>
        </w:rPr>
      </w:pPr>
      <w:r>
        <w:rPr>
          <w:rFonts w:hint="eastAsia" w:ascii="仿宋_GB2312" w:hAnsi="楷体_GB2312" w:eastAsia="仿宋_GB2312" w:cs="楷体_GB2312"/>
          <w:sz w:val="30"/>
          <w:szCs w:val="30"/>
        </w:rPr>
        <w:t>三、 材料报送要求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楷体_GB2312" w:eastAsia="仿宋_GB2312" w:cs="楷体_GB2312"/>
          <w:sz w:val="30"/>
          <w:szCs w:val="30"/>
          <w:lang w:eastAsia="zh-CN"/>
        </w:rPr>
      </w:pPr>
      <w:r>
        <w:rPr>
          <w:rFonts w:hint="eastAsia" w:ascii="仿宋_GB2312" w:hAnsi="楷体_GB2312" w:eastAsia="仿宋_GB2312" w:cs="楷体_GB2312"/>
          <w:sz w:val="30"/>
          <w:szCs w:val="30"/>
        </w:rPr>
        <w:t>请各</w:t>
      </w:r>
      <w:r>
        <w:rPr>
          <w:rFonts w:hint="eastAsia" w:ascii="仿宋_GB2312" w:hAnsi="楷体_GB2312" w:eastAsia="仿宋_GB2312" w:cs="楷体_GB2312"/>
          <w:sz w:val="30"/>
          <w:szCs w:val="30"/>
          <w:lang w:eastAsia="zh-CN"/>
        </w:rPr>
        <w:t>教学</w:t>
      </w:r>
      <w:r>
        <w:rPr>
          <w:rFonts w:hint="eastAsia" w:ascii="仿宋_GB2312" w:hAnsi="楷体_GB2312" w:eastAsia="仿宋_GB2312" w:cs="楷体_GB2312"/>
          <w:sz w:val="30"/>
          <w:szCs w:val="30"/>
        </w:rPr>
        <w:t>学院和机关职能部门的</w:t>
      </w:r>
      <w:r>
        <w:rPr>
          <w:rFonts w:hint="eastAsia" w:ascii="仿宋_GB2312" w:hAnsi="楷体_GB2312" w:eastAsia="仿宋_GB2312" w:cs="楷体_GB2312"/>
          <w:sz w:val="30"/>
          <w:szCs w:val="30"/>
          <w:lang w:eastAsia="zh-CN"/>
        </w:rPr>
        <w:t>综合办</w:t>
      </w:r>
      <w:r>
        <w:rPr>
          <w:rFonts w:hint="eastAsia" w:ascii="仿宋_GB2312" w:hAnsi="楷体_GB2312" w:eastAsia="仿宋_GB2312" w:cs="楷体_GB2312"/>
          <w:sz w:val="30"/>
          <w:szCs w:val="30"/>
        </w:rPr>
        <w:t>主任审核申报材料后于2023年3月</w:t>
      </w:r>
      <w:r>
        <w:rPr>
          <w:rFonts w:hint="eastAsia" w:ascii="仿宋_GB2312" w:hAnsi="楷体_GB2312" w:eastAsia="仿宋_GB2312" w:cs="楷体_GB2312"/>
          <w:sz w:val="30"/>
          <w:szCs w:val="30"/>
          <w:lang w:val="en-US" w:eastAsia="zh-CN"/>
        </w:rPr>
        <w:t>6</w:t>
      </w:r>
      <w:r>
        <w:rPr>
          <w:rFonts w:hint="eastAsia" w:ascii="仿宋_GB2312" w:hAnsi="楷体_GB2312" w:eastAsia="仿宋_GB2312" w:cs="楷体_GB2312"/>
          <w:sz w:val="30"/>
          <w:szCs w:val="30"/>
        </w:rPr>
        <w:t>日</w:t>
      </w:r>
      <w:r>
        <w:rPr>
          <w:rFonts w:hint="eastAsia" w:ascii="仿宋_GB2312" w:hAnsi="楷体_GB2312" w:eastAsia="仿宋_GB2312" w:cs="楷体_GB2312"/>
          <w:sz w:val="30"/>
          <w:szCs w:val="30"/>
          <w:lang w:eastAsia="zh-CN"/>
        </w:rPr>
        <w:t>上午</w:t>
      </w:r>
      <w:r>
        <w:rPr>
          <w:rFonts w:hint="eastAsia" w:ascii="仿宋_GB2312" w:hAnsi="楷体_GB2312" w:eastAsia="仿宋_GB2312" w:cs="楷体_GB2312"/>
          <w:sz w:val="30"/>
          <w:szCs w:val="30"/>
          <w:lang w:val="en-US" w:eastAsia="zh-CN"/>
        </w:rPr>
        <w:t>9</w:t>
      </w:r>
      <w:r>
        <w:rPr>
          <w:rFonts w:hint="eastAsia" w:ascii="仿宋_GB2312" w:hAnsi="楷体_GB2312" w:eastAsia="仿宋_GB2312" w:cs="楷体_GB2312"/>
          <w:sz w:val="30"/>
          <w:szCs w:val="30"/>
        </w:rPr>
        <w:t>点前统一将纸质版表格提交至教务处教学研究科(行政楼416)代军垒老师，同时将电子版申报材料发送至771363632@qq.com。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楷体_GB2312" w:eastAsia="仿宋_GB2312" w:cs="楷体_GB2312"/>
          <w:sz w:val="30"/>
          <w:szCs w:val="30"/>
        </w:rPr>
      </w:pPr>
      <w:r>
        <w:rPr>
          <w:rFonts w:hint="eastAsia" w:ascii="仿宋_GB2312" w:hAnsi="楷体_GB2312" w:eastAsia="仿宋_GB2312" w:cs="楷体_GB2312"/>
          <w:sz w:val="30"/>
          <w:szCs w:val="30"/>
        </w:rPr>
        <w:t>联系人：代军垒；联系电话：18807462528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楷体_GB2312" w:eastAsia="仿宋_GB2312" w:cs="楷体_GB2312"/>
          <w:sz w:val="30"/>
          <w:szCs w:val="30"/>
        </w:rPr>
      </w:pPr>
      <w:r>
        <w:rPr>
          <w:rFonts w:hint="eastAsia" w:ascii="仿宋_GB2312" w:hAnsi="楷体_GB2312" w:eastAsia="仿宋_GB2312" w:cs="楷体_GB2312"/>
          <w:sz w:val="30"/>
          <w:szCs w:val="30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楷体_GB2312" w:eastAsia="仿宋_GB2312" w:cs="楷体_GB2312"/>
          <w:sz w:val="30"/>
          <w:szCs w:val="30"/>
        </w:rPr>
      </w:pPr>
      <w:r>
        <w:rPr>
          <w:rFonts w:hint="eastAsia" w:ascii="仿宋_GB2312" w:hAnsi="楷体_GB2312" w:eastAsia="仿宋_GB2312" w:cs="楷体_GB2312"/>
          <w:sz w:val="30"/>
          <w:szCs w:val="30"/>
        </w:rPr>
        <w:t>1.关于推荐2023-2027年湖南省普通本科高校教学指导委员会委员候选人的通知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楷体_GB2312" w:eastAsia="仿宋_GB2312" w:cs="楷体_GB2312"/>
          <w:sz w:val="30"/>
          <w:szCs w:val="30"/>
        </w:rPr>
      </w:pPr>
      <w:r>
        <w:rPr>
          <w:rFonts w:hint="eastAsia" w:ascii="仿宋_GB2312" w:hAnsi="楷体_GB2312" w:eastAsia="仿宋_GB2312" w:cs="楷体_GB2312"/>
          <w:sz w:val="30"/>
          <w:szCs w:val="30"/>
        </w:rPr>
        <w:t>2.2023-2027年湖南省普通本科高校教学指导委员会委员候选人推荐表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楷体_GB2312" w:eastAsia="仿宋_GB2312" w:cs="楷体_GB2312"/>
          <w:sz w:val="30"/>
          <w:szCs w:val="30"/>
        </w:rPr>
      </w:pPr>
      <w:r>
        <w:rPr>
          <w:rFonts w:hint="eastAsia" w:ascii="仿宋_GB2312" w:hAnsi="楷体_GB2312" w:eastAsia="仿宋_GB2312" w:cs="楷体_GB2312"/>
          <w:sz w:val="30"/>
          <w:szCs w:val="30"/>
        </w:rPr>
        <w:t>3.2023-2027年湖南省普通本科高校教学指导委员会委员候选人推荐汇总表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right"/>
        <w:textAlignment w:val="auto"/>
        <w:rPr>
          <w:rFonts w:hint="eastAsia" w:ascii="仿宋_GB2312" w:hAnsi="楷体_GB2312" w:eastAsia="仿宋_GB2312" w:cs="楷体_GB2312"/>
          <w:sz w:val="30"/>
          <w:szCs w:val="30"/>
        </w:rPr>
      </w:pPr>
      <w:r>
        <w:rPr>
          <w:rFonts w:hint="eastAsia" w:ascii="仿宋_GB2312" w:hAnsi="楷体_GB2312" w:eastAsia="仿宋_GB2312" w:cs="楷体_GB2312"/>
          <w:sz w:val="30"/>
          <w:szCs w:val="30"/>
        </w:rPr>
        <w:t>湖南科技学院教务处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right"/>
        <w:textAlignment w:val="auto"/>
        <w:rPr>
          <w:rFonts w:hint="eastAsia" w:ascii="仿宋_GB2312" w:hAnsi="楷体_GB2312" w:eastAsia="仿宋_GB2312" w:cs="楷体_GB2312"/>
          <w:sz w:val="30"/>
          <w:szCs w:val="30"/>
        </w:rPr>
      </w:pPr>
      <w:r>
        <w:rPr>
          <w:rFonts w:hint="eastAsia" w:ascii="仿宋_GB2312" w:hAnsi="楷体_GB2312" w:eastAsia="仿宋_GB2312" w:cs="楷体_GB2312"/>
          <w:sz w:val="30"/>
          <w:szCs w:val="30"/>
        </w:rPr>
        <w:t>2023年</w:t>
      </w:r>
      <w:r>
        <w:rPr>
          <w:rFonts w:hint="eastAsia" w:ascii="仿宋_GB2312" w:hAnsi="楷体_GB2312" w:eastAsia="仿宋_GB2312" w:cs="楷体_GB2312"/>
          <w:sz w:val="30"/>
          <w:szCs w:val="30"/>
          <w:lang w:val="en-US" w:eastAsia="zh-CN"/>
        </w:rPr>
        <w:t>3</w:t>
      </w:r>
      <w:r>
        <w:rPr>
          <w:rFonts w:hint="eastAsia" w:ascii="仿宋_GB2312" w:hAnsi="楷体_GB2312" w:eastAsia="仿宋_GB2312" w:cs="楷体_GB2312"/>
          <w:sz w:val="30"/>
          <w:szCs w:val="30"/>
        </w:rPr>
        <w:t>月</w:t>
      </w:r>
      <w:r>
        <w:rPr>
          <w:rFonts w:hint="eastAsia" w:ascii="仿宋_GB2312" w:hAnsi="楷体_GB2312" w:eastAsia="仿宋_GB2312" w:cs="楷体_GB2312"/>
          <w:sz w:val="30"/>
          <w:szCs w:val="30"/>
          <w:lang w:val="en-US" w:eastAsia="zh-CN"/>
        </w:rPr>
        <w:t>2</w:t>
      </w:r>
      <w:r>
        <w:rPr>
          <w:rFonts w:hint="eastAsia" w:ascii="仿宋_GB2312" w:hAnsi="楷体_GB2312" w:eastAsia="仿宋_GB2312" w:cs="楷体_GB2312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right"/>
        <w:textAlignment w:val="auto"/>
        <w:rPr>
          <w:rFonts w:hint="eastAsia" w:ascii="仿宋_GB2312" w:hAnsi="楷体_GB2312" w:eastAsia="仿宋_GB2312" w:cs="楷体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right"/>
        <w:textAlignment w:val="auto"/>
        <w:rPr>
          <w:rFonts w:hint="eastAsia" w:ascii="仿宋_GB2312" w:hAnsi="楷体_GB2312" w:eastAsia="仿宋_GB2312" w:cs="楷体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right"/>
        <w:textAlignment w:val="auto"/>
        <w:rPr>
          <w:rFonts w:hint="eastAsia" w:ascii="仿宋_GB2312" w:hAnsi="楷体_GB2312" w:eastAsia="仿宋_GB2312" w:cs="楷体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right"/>
        <w:textAlignment w:val="auto"/>
        <w:rPr>
          <w:rFonts w:hint="eastAsia" w:ascii="仿宋_GB2312" w:hAnsi="楷体_GB2312" w:eastAsia="仿宋_GB2312" w:cs="楷体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right"/>
        <w:textAlignment w:val="auto"/>
        <w:rPr>
          <w:rFonts w:hint="eastAsia" w:ascii="仿宋_GB2312" w:hAnsi="楷体_GB2312" w:eastAsia="仿宋_GB2312" w:cs="楷体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right"/>
        <w:textAlignment w:val="auto"/>
        <w:rPr>
          <w:rFonts w:hint="eastAsia" w:ascii="仿宋_GB2312" w:hAnsi="楷体_GB2312" w:eastAsia="仿宋_GB2312" w:cs="楷体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right"/>
        <w:textAlignment w:val="auto"/>
        <w:rPr>
          <w:rFonts w:hint="eastAsia" w:ascii="仿宋_GB2312" w:hAnsi="楷体_GB2312" w:eastAsia="仿宋_GB2312" w:cs="楷体_GB2312"/>
          <w:sz w:val="30"/>
          <w:szCs w:val="30"/>
        </w:rPr>
      </w:pPr>
    </w:p>
    <w:p>
      <w:pPr>
        <w:bidi w:val="0"/>
      </w:pPr>
    </w:p>
    <w:p>
      <w:pPr>
        <w:pStyle w:val="2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20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20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jc w:val="center"/>
        <w:textAlignment w:val="auto"/>
        <w:rPr>
          <w:rFonts w:hint="default" w:ascii="Times New Roman" w:hAnsi="Times New Roman" w:cs="Times New Roman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8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Times New Roman" w:hAnsi="Times New Roman" w:cs="Times New Roman"/>
                <w:w w:val="80"/>
                <w:sz w:val="112"/>
                <w:szCs w:val="112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方正小标宋简体" w:cs="Times New Roman"/>
                <w:color w:val="FF0000"/>
                <w:w w:val="80"/>
                <w:sz w:val="112"/>
                <w:szCs w:val="112"/>
              </w:rPr>
              <w:t>湖南省教育厅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关于推荐202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—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7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湖南省普通本科高校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教学指导委员会委员候选人的通知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br w:type="textWrapping"/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20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各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>普通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本科高校：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为贯彻落实党的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>二十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大精神，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>加强我省高校本科教学工作宏观管理和分类指导，充分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发挥专家组织对高等教育教学改革的研究、咨询和指导作用，省教育厅决定组建202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eastAsia="zh-CN"/>
        </w:rPr>
        <w:t>—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202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年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>湖南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>普通本科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高校教学指导委员会（以下简称教指委）。现将委员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>候选人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推荐工作有关事项通知如下：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20"/>
        </w:rPr>
      </w:pPr>
      <w:r>
        <w:rPr>
          <w:rStyle w:val="12"/>
          <w:rFonts w:hint="default" w:ascii="Times New Roman" w:hAnsi="Times New Roman" w:eastAsia="黑体" w:cs="Times New Roman"/>
          <w:b w:val="0"/>
          <w:bCs/>
          <w:sz w:val="32"/>
          <w:szCs w:val="20"/>
        </w:rPr>
        <w:t>一、主要任务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20"/>
        </w:rPr>
      </w:pPr>
      <w:r>
        <w:rPr>
          <w:rFonts w:hint="default" w:ascii="Times New Roman" w:hAnsi="Times New Roman" w:eastAsia="仿宋" w:cs="Times New Roman"/>
          <w:sz w:val="32"/>
          <w:szCs w:val="20"/>
        </w:rPr>
        <w:t>教指委是省教育厅指导的非常设学术机构性质的专家组织，受省教育厅委托开展普通本科高校教学研究、咨询、指导、评估和服务等工作，主要任务包括：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20"/>
        </w:rPr>
      </w:pPr>
      <w:r>
        <w:rPr>
          <w:rFonts w:hint="default" w:ascii="Times New Roman" w:hAnsi="Times New Roman" w:eastAsia="仿宋" w:cs="Times New Roman"/>
          <w:sz w:val="32"/>
          <w:szCs w:val="20"/>
        </w:rPr>
        <w:t>组织本学科专业教学领域的理论与实践研究，开展有关教育教学、教学改革学术研讨和交流；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20"/>
        </w:rPr>
      </w:pPr>
      <w:r>
        <w:rPr>
          <w:rFonts w:hint="default" w:ascii="Times New Roman" w:hAnsi="Times New Roman" w:eastAsia="仿宋" w:cs="Times New Roman"/>
          <w:sz w:val="32"/>
          <w:szCs w:val="20"/>
        </w:rPr>
        <w:t>指导和推进高校本科专业的设置与调整、本科专业人才培养方案的修订及完善；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2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5171440</wp:posOffset>
                </wp:positionH>
                <wp:positionV relativeFrom="paragraph">
                  <wp:posOffset>757555</wp:posOffset>
                </wp:positionV>
                <wp:extent cx="638175" cy="342900"/>
                <wp:effectExtent l="6350" t="6350" r="22225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71235" y="9899650"/>
                          <a:ext cx="638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7.2pt;margin-top:59.65pt;height:27pt;width:50.25pt;z-index:251661312;v-text-anchor:middle;mso-width-relative:page;mso-height-relative:page;" fillcolor="#FFFFFF" filled="t" stroked="t" coordsize="21600,21600" o:gfxdata="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hA/Qs2QAAAAsBAAAPAAAAAAAAAAEAIAAA&#10;ACIAAABkcnMvZG93bnJldi54bWxQSwECFAAUAAAACACHTuJAMlEfL30CAAANBQAADgAAAAAAAAAB&#10;ACAAAAAoAQAAZHJzL2Uyb0RvYy54bWxQSwUGAAAAAAYABgBZAQAAFwYAAAAA&#10;">
                <v:path/>
                <v:fill on="t" focussize="0,0"/>
                <v:stroke weight="1pt"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仿宋" w:cs="Times New Roman"/>
          <w:sz w:val="32"/>
          <w:szCs w:val="20"/>
        </w:rPr>
        <w:t>指导高校</w:t>
      </w:r>
      <w:r>
        <w:rPr>
          <w:rFonts w:hint="default" w:ascii="Times New Roman" w:hAnsi="Times New Roman" w:eastAsia="仿宋" w:cs="Times New Roman"/>
          <w:sz w:val="32"/>
          <w:szCs w:val="20"/>
          <w:lang w:eastAsia="zh-CN"/>
        </w:rPr>
        <w:t>加强</w:t>
      </w:r>
      <w:r>
        <w:rPr>
          <w:rFonts w:hint="default" w:ascii="Times New Roman" w:hAnsi="Times New Roman" w:eastAsia="仿宋" w:cs="Times New Roman"/>
          <w:sz w:val="32"/>
          <w:szCs w:val="20"/>
        </w:rPr>
        <w:t>专业、教材、课程、</w:t>
      </w:r>
      <w:r>
        <w:rPr>
          <w:rFonts w:hint="default" w:ascii="Times New Roman" w:hAnsi="Times New Roman" w:eastAsia="仿宋" w:cs="Times New Roman"/>
          <w:sz w:val="32"/>
          <w:szCs w:val="20"/>
          <w:lang w:eastAsia="zh-CN"/>
        </w:rPr>
        <w:t>教学</w:t>
      </w:r>
      <w:r>
        <w:rPr>
          <w:rFonts w:hint="default" w:ascii="Times New Roman" w:hAnsi="Times New Roman" w:eastAsia="仿宋" w:cs="Times New Roman"/>
          <w:sz w:val="32"/>
          <w:szCs w:val="20"/>
        </w:rPr>
        <w:t>团队、基层教学组织</w:t>
      </w:r>
      <w:r>
        <w:rPr>
          <w:rFonts w:hint="default" w:ascii="Times New Roman" w:hAnsi="Times New Roman" w:eastAsia="仿宋" w:cs="Times New Roman"/>
          <w:sz w:val="32"/>
          <w:szCs w:val="20"/>
          <w:lang w:eastAsia="zh-CN"/>
        </w:rPr>
        <w:t>和</w:t>
      </w:r>
      <w:r>
        <w:rPr>
          <w:rFonts w:hint="default" w:ascii="Times New Roman" w:hAnsi="Times New Roman" w:eastAsia="仿宋" w:cs="Times New Roman"/>
          <w:sz w:val="32"/>
          <w:szCs w:val="20"/>
        </w:rPr>
        <w:t>实验室、实习实践基地等教学基本条件建设；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20"/>
        </w:rPr>
      </w:pPr>
      <w:r>
        <w:rPr>
          <w:rFonts w:hint="default" w:ascii="Times New Roman" w:hAnsi="Times New Roman" w:eastAsia="仿宋" w:cs="Times New Roman"/>
          <w:sz w:val="32"/>
          <w:szCs w:val="20"/>
        </w:rPr>
        <w:t>指导高校提升教学管理能力和教师教学能力</w:t>
      </w:r>
      <w:r>
        <w:rPr>
          <w:rFonts w:hint="default" w:ascii="Times New Roman" w:hAnsi="Times New Roman" w:eastAsia="仿宋" w:cs="Times New Roman"/>
          <w:sz w:val="32"/>
          <w:szCs w:val="20"/>
          <w:lang w:eastAsia="zh-CN"/>
        </w:rPr>
        <w:t>，推进高等教育</w:t>
      </w:r>
      <w:r>
        <w:rPr>
          <w:rFonts w:hint="default" w:ascii="Times New Roman" w:hAnsi="Times New Roman" w:eastAsia="仿宋" w:cs="Times New Roman"/>
          <w:sz w:val="32"/>
          <w:szCs w:val="20"/>
        </w:rPr>
        <w:t>数字化建设；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20"/>
        </w:rPr>
      </w:pPr>
      <w:r>
        <w:rPr>
          <w:rFonts w:hint="default" w:ascii="Times New Roman" w:hAnsi="Times New Roman" w:eastAsia="仿宋" w:cs="Times New Roman"/>
          <w:sz w:val="32"/>
          <w:szCs w:val="20"/>
        </w:rPr>
        <w:t>指导高校加强校企合作和实习实训等工作</w:t>
      </w:r>
      <w:r>
        <w:rPr>
          <w:rFonts w:hint="default" w:ascii="Times New Roman" w:hAnsi="Times New Roman" w:eastAsia="仿宋" w:cs="Times New Roman"/>
          <w:sz w:val="32"/>
          <w:szCs w:val="20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20"/>
        </w:rPr>
        <w:t>强化实践</w:t>
      </w:r>
      <w:r>
        <w:rPr>
          <w:rFonts w:hint="default" w:ascii="Times New Roman" w:hAnsi="Times New Roman" w:eastAsia="仿宋" w:cs="Times New Roman"/>
          <w:sz w:val="32"/>
          <w:szCs w:val="20"/>
          <w:lang w:eastAsia="zh-CN"/>
        </w:rPr>
        <w:t>教学</w:t>
      </w:r>
      <w:r>
        <w:rPr>
          <w:rFonts w:hint="default" w:ascii="Times New Roman" w:hAnsi="Times New Roman" w:eastAsia="仿宋" w:cs="Times New Roman"/>
          <w:sz w:val="32"/>
          <w:szCs w:val="20"/>
        </w:rPr>
        <w:t>建设；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20"/>
        </w:rPr>
      </w:pPr>
      <w:r>
        <w:rPr>
          <w:rFonts w:hint="default" w:ascii="Times New Roman" w:hAnsi="Times New Roman" w:eastAsia="仿宋" w:cs="Times New Roman"/>
          <w:sz w:val="32"/>
          <w:szCs w:val="20"/>
        </w:rPr>
        <w:t>指导高校加强教风学风建设</w:t>
      </w:r>
      <w:r>
        <w:rPr>
          <w:rFonts w:hint="default" w:ascii="Times New Roman" w:hAnsi="Times New Roman" w:eastAsia="仿宋" w:cs="Times New Roman"/>
          <w:sz w:val="32"/>
          <w:szCs w:val="20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20"/>
        </w:rPr>
        <w:t>强化学生创新意识和创新能力培养；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20"/>
        </w:rPr>
      </w:pPr>
      <w:r>
        <w:rPr>
          <w:rFonts w:hint="default" w:ascii="Times New Roman" w:hAnsi="Times New Roman" w:eastAsia="仿宋" w:cs="Times New Roman"/>
          <w:sz w:val="32"/>
          <w:szCs w:val="20"/>
        </w:rPr>
        <w:t>指导高校教学活动的德智体美劳“五育”融合建设；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20"/>
        </w:rPr>
      </w:pPr>
      <w:r>
        <w:rPr>
          <w:rFonts w:hint="default" w:ascii="Times New Roman" w:hAnsi="Times New Roman" w:eastAsia="仿宋" w:cs="Times New Roman"/>
          <w:sz w:val="32"/>
          <w:szCs w:val="20"/>
        </w:rPr>
        <w:t>完成省教育厅交办的其它教育教学有关任务。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Style w:val="12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20"/>
          <w:lang w:eastAsia="zh-CN"/>
        </w:rPr>
      </w:pPr>
      <w:r>
        <w:rPr>
          <w:rStyle w:val="12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20"/>
        </w:rPr>
        <w:t>二、</w:t>
      </w:r>
      <w:r>
        <w:rPr>
          <w:rStyle w:val="12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20"/>
          <w:lang w:eastAsia="zh-CN"/>
        </w:rPr>
        <w:t>组织架构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20"/>
          <w:lang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本届拟设立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个省级教指委。各教指委设主任委员1人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eastAsia="zh-CN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副主任委员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>2—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3人，委员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eastAsia="zh-CN"/>
        </w:rPr>
        <w:t>若干，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秘书长1人。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eastAsia="zh-CN"/>
        </w:rPr>
        <w:t>秘书长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原则上从教指委主任委员所在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eastAsia="zh-CN"/>
        </w:rPr>
        <w:t>单位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产生，协助主任委员处理日常工作。根据需要设副秘书长。建立秘书长联席会议制度，相关工作由省教育厅高等教育处负责协调。教指委委员实行任期制，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>本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届任期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eastAsia="zh-CN"/>
        </w:rPr>
        <w:t>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>2023—2027年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20"/>
        </w:rPr>
      </w:pPr>
      <w:r>
        <w:rPr>
          <w:rStyle w:val="12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20"/>
        </w:rPr>
        <w:t>三、推荐对象及条件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本次推荐工作面向全省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eastAsia="zh-CN"/>
        </w:rPr>
        <w:t>普通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本科高校和行业、企业、科研院所等单位。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20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20"/>
        </w:rPr>
        <w:t>高等学校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 xml:space="preserve">1.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政治立场坚定，全面贯彻党的教育方针，深刻理解高等教育有关政策，遵纪守法。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2．从事本学科专业教学工作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eastAsia="zh-CN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教学能力强、学术造诣高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eastAsia="zh-CN"/>
        </w:rPr>
        <w:t>、师德师风好，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教学或教学管理等相关工作经验丰富。主任委员、副主任委员应具有教授职称；其他委员应具有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eastAsia="zh-CN"/>
        </w:rPr>
        <w:t>教授或其他相应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专业技术职称。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3．熟悉本科教育教学和人才培养工作，热心本科教学，近5年来坚持为本科生上课，教育部高等学校教学指导委员会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eastAsia="zh-CN"/>
        </w:rPr>
        <w:t>委员、国家级一流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专业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eastAsia="zh-CN"/>
        </w:rPr>
        <w:t>建设点和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>一流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eastAsia="zh-CN"/>
        </w:rPr>
        <w:t>课程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负责人、教学名师、教学成果奖获得者优先。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4．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eastAsia="zh-CN"/>
        </w:rPr>
        <w:t>工作责任心和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组织协调能力较强，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eastAsia="zh-CN"/>
        </w:rPr>
        <w:t>乐于奉献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5．身体健康。年龄原则上不超过55周岁，主任委员、副主任委员原则上不超过60周岁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eastAsia="zh-CN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教育部高等学校教学指导委员会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eastAsia="zh-CN"/>
        </w:rPr>
        <w:t>委员年龄可适当放宽。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6．所在单位能够提供必要的人员、经费、办公条件等支持。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200" w:right="0" w:firstLine="0" w:firstLineChars="0"/>
        <w:jc w:val="both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20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20"/>
        </w:rPr>
        <w:t>（二）行业、企业、科研院所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政治立场坚定，能够全面贯彻党的教育方针，深刻理解高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等教育有关政策，遵纪守法。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 xml:space="preserve">    2. 具有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参与校企合作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eastAsia="zh-CN"/>
        </w:rPr>
        <w:t>的丰富经验，熟悉相关工作。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 xml:space="preserve">3.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在业内认知度高，对人才培养工作有高度热情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eastAsia="zh-CN"/>
        </w:rPr>
        <w:t>和责任感。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 xml:space="preserve">4.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身体健康。年龄原则上不超过55周岁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Style w:val="12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20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20"/>
        </w:rPr>
      </w:pPr>
      <w:r>
        <w:rPr>
          <w:rStyle w:val="12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20"/>
        </w:rPr>
        <w:t>四、推荐办法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20"/>
        </w:rPr>
        <w:t>（一）限额推荐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20"/>
          <w:lang w:eastAsia="zh-CN"/>
        </w:rPr>
        <w:t>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每个省级教指委中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"/>
        </w:rPr>
        <w:t>,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原则上国家“双一流”建设高校推荐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>不超过3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人，省属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eastAsia="zh-CN"/>
        </w:rPr>
        <w:t>本科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大学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>不超过2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人，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eastAsia="zh-CN"/>
        </w:rPr>
        <w:t>学院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>不超过1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eastAsia="zh-CN"/>
        </w:rPr>
        <w:t>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行业、企业、科研院所等单位的专家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>由我厅商相关行业主管单位推荐。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20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20"/>
        </w:rPr>
        <w:t>（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20"/>
          <w:lang w:eastAsia="zh-CN"/>
        </w:rPr>
        <w:t>二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20"/>
        </w:rPr>
        <w:t>）择优遴选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20"/>
          <w:lang w:eastAsia="zh-CN"/>
        </w:rPr>
        <w:t>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eastAsia="zh-CN"/>
        </w:rPr>
        <w:t>省教育厅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按照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eastAsia="zh-CN"/>
        </w:rPr>
        <w:t>水平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优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eastAsia="zh-CN"/>
        </w:rPr>
        <w:t>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、兼顾均衡的原则，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eastAsia="zh-CN"/>
        </w:rPr>
        <w:t>从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各校推荐人员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eastAsia="zh-CN"/>
        </w:rPr>
        <w:t>中择优遴选产生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>湖南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>普通本科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高校教学指导委员会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eastAsia="zh-CN"/>
        </w:rPr>
        <w:t>委员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Style w:val="12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20"/>
        </w:rPr>
      </w:pPr>
      <w:r>
        <w:rPr>
          <w:rStyle w:val="12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20"/>
        </w:rPr>
        <w:t>五、有关要求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20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1．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eastAsia="zh-CN"/>
        </w:rPr>
        <w:t>各高校要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高度重视本次委员推荐工作，精心组织、严格推荐标准和程序，确保材料真实有效。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2．请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eastAsia="zh-CN"/>
        </w:rPr>
        <w:t>各高校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" w:eastAsia="zh-CN"/>
        </w:rPr>
        <w:t>8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日前将《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>湖南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省高等学校教学指导委员会委员个人申请表》（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>电子版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）、《推荐委员信息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>汇总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表》（加盖学校公章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>的扫描版和电子版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），发送至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>电子邮箱：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" w:eastAsia="zh-CN"/>
        </w:rPr>
        <w:t>jytgjc2023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@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" w:eastAsia="zh-CN"/>
        </w:rPr>
        <w:t>126.com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。联系人：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>卜华平、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eastAsia="zh-CN"/>
        </w:rPr>
        <w:t>肖岳平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>，电话：0731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eastAsia="zh-CN"/>
        </w:rPr>
        <w:t>—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>84720851。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2095" w:leftChars="760" w:right="0" w:hanging="499" w:hangingChars="156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 xml:space="preserve">    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2095" w:leftChars="760" w:right="0" w:hanging="499" w:hangingChars="156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2095" w:leftChars="760" w:right="0" w:hanging="499" w:hangingChars="156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507" w:firstLineChars="471"/>
        <w:jc w:val="righ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20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 xml:space="preserve">               </w:t>
      </w:r>
      <w:r>
        <w:rPr>
          <w:rFonts w:hint="eastAsia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 xml:space="preserve">       湖南省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教育厅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3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360"/>
        <w:jc w:val="righ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20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 xml:space="preserve">                      </w:t>
      </w:r>
      <w:r>
        <w:rPr>
          <w:rFonts w:hint="eastAsia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 xml:space="preserve"> </w:t>
      </w:r>
      <w:r>
        <w:rPr>
          <w:rFonts w:hint="eastAsia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 xml:space="preserve">   </w:t>
      </w:r>
      <w:r>
        <w:rPr>
          <w:rFonts w:hint="eastAsia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 xml:space="preserve">   2023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年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" w:eastAsia="zh-CN"/>
        </w:rPr>
        <w:t>2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2023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—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2027年湖南省普通本科高校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</w:rPr>
        <w:t>教学指导委员会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设置名单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eastAsia="zh-CN"/>
        </w:rPr>
        <w:t>一、综合类指导委员会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1.</w:t>
      </w:r>
      <w:r>
        <w:rPr>
          <w:rFonts w:hint="default" w:ascii="仿宋_GB2312" w:hAnsi="楷体_GB2312" w:eastAsia="仿宋_GB2312" w:cs="楷体_GB2312"/>
          <w:sz w:val="30"/>
          <w:szCs w:val="30"/>
          <w:lang w:eastAsia="zh-CN"/>
        </w:rPr>
        <w:t>专业设置与建设指导委员会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2.</w:t>
      </w:r>
      <w:r>
        <w:rPr>
          <w:rFonts w:hint="default" w:ascii="仿宋_GB2312" w:hAnsi="楷体_GB2312" w:eastAsia="仿宋_GB2312" w:cs="楷体_GB2312"/>
          <w:sz w:val="30"/>
          <w:szCs w:val="30"/>
          <w:lang w:eastAsia="zh-CN"/>
        </w:rPr>
        <w:t>教学管理与教学能力建设指导委员会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eastAsia="zh-CN"/>
        </w:rPr>
        <w:t>二、专业类教学指导委员会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eastAsia" w:ascii="仿宋_GB2312" w:hAnsi="楷体_GB2312" w:eastAsia="仿宋_GB2312" w:cs="楷体_GB2312"/>
          <w:sz w:val="30"/>
          <w:szCs w:val="30"/>
          <w:lang w:val="en-US" w:eastAsia="zh-CN"/>
        </w:rPr>
        <w:t>1.</w:t>
      </w: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马克思主义理论与法学类专业教学指导委员会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（涉及专业类：马克思主义理论类、政治学类、法学类、公安学类、社会学类）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eastAsia" w:ascii="仿宋_GB2312" w:hAnsi="楷体_GB2312" w:eastAsia="仿宋_GB2312" w:cs="楷体_GB2312"/>
          <w:sz w:val="30"/>
          <w:szCs w:val="30"/>
          <w:lang w:val="en-US" w:eastAsia="zh-CN"/>
        </w:rPr>
        <w:t>2.</w:t>
      </w: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材料类专业教学指导委员会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（涉及专业类：材料类）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eastAsia" w:ascii="仿宋_GB2312" w:hAnsi="楷体_GB2312" w:eastAsia="仿宋_GB2312" w:cs="楷体_GB2312"/>
          <w:sz w:val="30"/>
          <w:szCs w:val="30"/>
          <w:lang w:val="en-US" w:eastAsia="zh-CN"/>
        </w:rPr>
        <w:t>3.</w:t>
      </w: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电子信息类专业教学指导委员会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（涉及专业类：电子信息类、生物医学工程类）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eastAsia" w:ascii="仿宋_GB2312" w:hAnsi="楷体_GB2312" w:eastAsia="仿宋_GB2312" w:cs="楷体_GB2312"/>
          <w:sz w:val="30"/>
          <w:szCs w:val="30"/>
          <w:lang w:val="en-US" w:eastAsia="zh-CN"/>
        </w:rPr>
        <w:t>4.</w:t>
      </w: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机械与航空航天类专业教学指导委员会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（涉及专业类：机械类、航空航天类）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eastAsia" w:ascii="仿宋_GB2312" w:hAnsi="楷体_GB2312" w:eastAsia="仿宋_GB2312" w:cs="楷体_GB2312"/>
          <w:sz w:val="30"/>
          <w:szCs w:val="30"/>
          <w:lang w:val="en-US" w:eastAsia="zh-CN"/>
        </w:rPr>
        <w:t>5.</w:t>
      </w: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计算机与公安技术类专业教学指导委员会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（涉及专业类：计算机类、公安技术类）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eastAsia" w:ascii="仿宋_GB2312" w:hAnsi="楷体_GB2312" w:eastAsia="仿宋_GB2312" w:cs="楷体_GB2312"/>
          <w:sz w:val="30"/>
          <w:szCs w:val="30"/>
          <w:lang w:val="en-US" w:eastAsia="zh-CN"/>
        </w:rPr>
        <w:t>6.</w:t>
      </w: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土建水利与交通海洋类专业教学指导委员会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（涉及专业类：土木类、建筑类、水利类、交通运输类、海洋工程类）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eastAsia" w:ascii="仿宋_GB2312" w:hAnsi="楷体_GB2312" w:eastAsia="仿宋_GB2312" w:cs="楷体_GB2312"/>
          <w:sz w:val="30"/>
          <w:szCs w:val="30"/>
          <w:lang w:val="en-US" w:eastAsia="zh-CN"/>
        </w:rPr>
        <w:t>7.</w:t>
      </w: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农林与食品科学类专业教学指导委员会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（涉及专业类：植物生产类、自然保护与环境生态类、动物生产类、动物医学类、水产类、草水类、农业工程类、林学类、林业工程类、食品科学与工程类）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eastAsia" w:ascii="仿宋_GB2312" w:hAnsi="楷体_GB2312" w:eastAsia="仿宋_GB2312" w:cs="楷体_GB2312"/>
          <w:sz w:val="30"/>
          <w:szCs w:val="30"/>
          <w:lang w:val="en-US" w:eastAsia="zh-CN"/>
        </w:rPr>
        <w:t>8.</w:t>
      </w: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电气自动化与仪器类专业教学指导委员会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（涉及专业类：电气类、自动化类、仪器类、能源动力类、兵器类）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eastAsia" w:ascii="仿宋_GB2312" w:hAnsi="楷体_GB2312" w:eastAsia="仿宋_GB2312" w:cs="楷体_GB2312"/>
          <w:sz w:val="30"/>
          <w:szCs w:val="30"/>
          <w:lang w:val="en-US" w:eastAsia="zh-CN"/>
        </w:rPr>
        <w:t>9.</w:t>
      </w: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经济学类专业教学指导委员会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（涉及专业类：金融学类、经济学类、经济与贸易类、财政学类）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10.管理学类专业教学指导委员会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（涉及专业类：工商管理类、电子商务类、旅游管理类、物流管理与工程类、公共管理类、管理科学与工程类、农业经济管理类、图书情报与档案管理类、工业工程类）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11.教育学类专业教学指导委员会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（涉及专业类：教育学类、体育学类、心理学类）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12.地矿、环境工程、安全科学与核工程类专业教学指导委员会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（涉及专业类：地理科学类、地球物理学类、地质类、矿业类、测绘类、环境科学与工程类、安全科学与工程类、核工程类）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13.生化与纺织轻工类专业教学指导委员会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（涉及专业类：生物科学类、生物工程类、化学类、化工与制药类、纺织类、轻工类）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14.数理类专业教学指导委员会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（涉及专业类：数学类、统计学类、物理学类、力学类）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15.外国语言文学类专业教学指导委员会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（涉及专业类：外国语言文学类）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16.中国语言文学、新闻传播与历史哲学类专业教学指导委员会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（涉及专业类：中国语言文学类、新闻传播学类、历史学类、哲学类）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17.医药学类专业教学指导委员会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（涉及专业类：临床医学类、基础医学类、口腔医学类、公共卫生与预防医学类、护理学类、法医学类、医学技术类、中医学类、中西医结合类、药学类、中药学类）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18.美术与设计学类专业教学指导委员会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（涉及专业类：美术学类、设计学类、</w:t>
      </w:r>
      <w:r>
        <w:rPr>
          <w:rFonts w:hint="default" w:ascii="仿宋_GB2312" w:hAnsi="楷体_GB2312" w:eastAsia="仿宋_GB2312" w:cs="楷体_GB2312"/>
          <w:sz w:val="30"/>
          <w:szCs w:val="30"/>
          <w:lang w:val="en" w:eastAsia="zh-CN"/>
        </w:rPr>
        <w:t>艺术学理论类</w:t>
      </w: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19.音乐与戏剧学类专业教学指导委员会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（涉及专业类：音乐与舞蹈学类、戏剧与影视学类）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eastAsia="zh-CN"/>
        </w:rPr>
        <w:t>三、课程类教学指导委员会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1.公共思政课程教学指导委员会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2.大学外语教学指导委员会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3.大学计算机教学指导委员会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eastAsia="zh-CN"/>
        </w:rPr>
        <w:t>四、专项工作指导委员会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1.课程思政建设教学指导委员会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2.教学数字化建设指导委员会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3.创新创业教育指导委员会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4.教材建设指导委员会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5.实验室建设与实践教学指导委员会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default" w:ascii="仿宋_GB2312" w:hAnsi="楷体_GB2312" w:eastAsia="仿宋_GB2312" w:cs="楷体_GB2312"/>
          <w:sz w:val="30"/>
          <w:szCs w:val="30"/>
          <w:lang w:val="en-US" w:eastAsia="zh-CN"/>
        </w:rPr>
        <w:t>6.图书馆工作指导委员会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20"/>
        </w:rPr>
        <w:t>附件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>2</w:t>
      </w:r>
    </w:p>
    <w:p>
      <w:pPr>
        <w:pStyle w:val="2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2023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—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2027年湖南省普通本科高校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教学指导委员会委员候选人推荐表</w:t>
      </w:r>
    </w:p>
    <w:tbl>
      <w:tblPr>
        <w:tblStyle w:val="10"/>
        <w:tblW w:w="0" w:type="auto"/>
        <w:tblInd w:w="-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916"/>
        <w:gridCol w:w="1200"/>
        <w:gridCol w:w="1834"/>
        <w:gridCol w:w="1206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姓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性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别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-519" w:rightChars="-247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eastAsia="zh-CN"/>
              </w:rPr>
              <w:t>工作单位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eastAsia="zh-CN"/>
              </w:rPr>
              <w:t>民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eastAsia="zh-CN"/>
              </w:rPr>
              <w:t>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eastAsia="zh-CN"/>
              </w:rPr>
              <w:t>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eastAsia="zh-CN"/>
              </w:rPr>
              <w:t>派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eastAsia="zh-CN"/>
              </w:rPr>
              <w:t>学科专业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eastAsia="zh-CN"/>
              </w:rPr>
              <w:t>职称职级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eastAsia="zh-CN"/>
              </w:rPr>
              <w:t>行政职务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eastAsia="zh-CN"/>
              </w:rPr>
              <w:t>最后毕业学校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eastAsia="zh-CN"/>
              </w:rPr>
              <w:t>毕业时间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eastAsia="zh-CN"/>
              </w:rPr>
              <w:t>授予学位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为本科生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上课年限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eastAsia="zh-CN"/>
              </w:rPr>
              <w:t>电子邮箱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eastAsia="zh-CN"/>
              </w:rPr>
              <w:t>手机号码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eastAsia="zh-CN"/>
              </w:rPr>
              <w:t>是否担任教育部教指委委员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eastAsia="zh-CN"/>
              </w:rPr>
              <w:t>教育部教指委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8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在学术团体、组织任职情况</w:t>
            </w:r>
          </w:p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限3项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79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45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eastAsia="zh-CN"/>
              </w:rPr>
              <w:t>拟推荐担任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委员会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（主任委员/副主任委员/委员）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eastAsia="zh-CN"/>
              </w:rPr>
              <w:t>主要学习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eastAsia="zh-CN"/>
              </w:rPr>
              <w:t>和工作简历</w:t>
            </w:r>
          </w:p>
        </w:tc>
        <w:tc>
          <w:tcPr>
            <w:tcW w:w="795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近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5年取得的</w:t>
            </w:r>
            <w:r>
              <w:rPr>
                <w:rFonts w:hint="default" w:ascii="Times New Roman" w:hAnsi="Times New Roman" w:cs="Times New Roman"/>
                <w:lang w:eastAsia="zh-CN"/>
              </w:rPr>
              <w:t>教学科研主要成果（限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5项</w:t>
            </w:r>
            <w:r>
              <w:rPr>
                <w:rFonts w:hint="default" w:ascii="Times New Roman" w:hAnsi="Times New Roman" w:cs="Times New Roman"/>
                <w:lang w:eastAsia="zh-CN"/>
              </w:rPr>
              <w:t>）</w:t>
            </w:r>
          </w:p>
        </w:tc>
        <w:tc>
          <w:tcPr>
            <w:tcW w:w="795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学校意见</w:t>
            </w:r>
          </w:p>
        </w:tc>
        <w:tc>
          <w:tcPr>
            <w:tcW w:w="795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学校（盖章）</w:t>
            </w:r>
          </w:p>
          <w:p>
            <w:pPr>
              <w:pStyle w:val="2"/>
              <w:rPr>
                <w:rFonts w:hint="default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月 </w:t>
            </w: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日</w:t>
            </w:r>
          </w:p>
        </w:tc>
      </w:tr>
    </w:tbl>
    <w:p>
      <w:pPr>
        <w:pStyle w:val="2"/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1701" w:right="1417" w:bottom="1417" w:left="141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20"/>
          <w:lang w:val="en-US" w:eastAsia="zh-CN"/>
        </w:rPr>
        <w:t xml:space="preserve">附件3 </w:t>
      </w:r>
    </w:p>
    <w:p>
      <w:pPr>
        <w:pStyle w:val="2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-11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11"/>
          <w:sz w:val="44"/>
          <w:szCs w:val="44"/>
          <w:lang w:val="en-US" w:eastAsia="zh-CN"/>
        </w:rPr>
        <w:t>2023—2027年湖南省普通本科高校教学指导委员会委员候选人推荐汇总表</w:t>
      </w:r>
    </w:p>
    <w:p>
      <w:pPr>
        <w:pStyle w:val="2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学校名称（盖章）：                               工作联系人：                                   联系电话：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634"/>
        <w:gridCol w:w="634"/>
        <w:gridCol w:w="844"/>
        <w:gridCol w:w="690"/>
        <w:gridCol w:w="777"/>
        <w:gridCol w:w="634"/>
        <w:gridCol w:w="634"/>
        <w:gridCol w:w="1282"/>
        <w:gridCol w:w="634"/>
        <w:gridCol w:w="634"/>
        <w:gridCol w:w="634"/>
        <w:gridCol w:w="634"/>
        <w:gridCol w:w="634"/>
        <w:gridCol w:w="849"/>
        <w:gridCol w:w="1206"/>
        <w:gridCol w:w="634"/>
        <w:gridCol w:w="884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88" w:hRule="atLeast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推荐入选省级教指委名称（全称）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被推荐人单位名称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被推荐人部门名称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被推荐人所属高校类别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所在专业名称（全称）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是否学校本专业建设负责人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  <w:bookmarkStart w:id="0" w:name="_GoBack"/>
            <w:bookmarkEnd w:id="0"/>
          </w:p>
        </w:tc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专业技术职务具体信息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行政职务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是否入选教育部教指委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任教育部教指委名称（全称）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电子信息类教学指导委员会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**大学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**学院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部属高校、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省属高校、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军队院校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是/否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1970.01.01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二级教授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院长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**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是/否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电子信息类教学指导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委员会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填写示例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7" w:hRule="atLeast"/>
        </w:trPr>
        <w:tc>
          <w:tcPr>
            <w:tcW w:w="76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8" w:hRule="atLeast"/>
        </w:trPr>
        <w:tc>
          <w:tcPr>
            <w:tcW w:w="76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>
      <w:pPr>
        <w:bidi w:val="0"/>
      </w:pPr>
    </w:p>
    <w:tbl>
      <w:tblPr>
        <w:tblStyle w:val="10"/>
        <w:tblW w:w="9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491"/>
        <w:gridCol w:w="1491"/>
        <w:gridCol w:w="1491"/>
        <w:gridCol w:w="1491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1491" w:type="dxa"/>
          </w:tcPr>
          <w:p>
            <w:pPr>
              <w:spacing w:line="520" w:lineRule="exact"/>
              <w:jc w:val="left"/>
              <w:rPr>
                <w:rFonts w:hint="eastAsia" w:ascii="楷体_GB2312" w:hAnsi="楷体_GB2312" w:eastAsia="楷体_GB2312" w:cs="楷体_GB2312"/>
                <w:b/>
                <w:strike/>
                <w:dstrike w:val="0"/>
                <w:vanish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spacing w:line="520" w:lineRule="exact"/>
              <w:jc w:val="left"/>
              <w:rPr>
                <w:rFonts w:hint="eastAsia" w:ascii="楷体_GB2312" w:hAnsi="楷体_GB2312" w:eastAsia="楷体_GB2312" w:cs="楷体_GB2312"/>
                <w:b/>
                <w:strike/>
                <w:dstrike w:val="0"/>
                <w:vanish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spacing w:line="520" w:lineRule="exact"/>
              <w:jc w:val="left"/>
              <w:rPr>
                <w:rFonts w:hint="eastAsia" w:ascii="楷体_GB2312" w:hAnsi="楷体_GB2312" w:eastAsia="楷体_GB2312" w:cs="楷体_GB2312"/>
                <w:b/>
                <w:strike/>
                <w:dstrike w:val="0"/>
                <w:vanish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spacing w:line="520" w:lineRule="exact"/>
              <w:jc w:val="left"/>
              <w:rPr>
                <w:rFonts w:hint="eastAsia" w:ascii="楷体_GB2312" w:hAnsi="楷体_GB2312" w:eastAsia="楷体_GB2312" w:cs="楷体_GB2312"/>
                <w:b/>
                <w:strike/>
                <w:dstrike w:val="0"/>
                <w:vanish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spacing w:line="520" w:lineRule="exact"/>
              <w:jc w:val="left"/>
              <w:rPr>
                <w:rFonts w:hint="eastAsia" w:ascii="楷体_GB2312" w:hAnsi="楷体_GB2312" w:eastAsia="楷体_GB2312" w:cs="楷体_GB2312"/>
                <w:b/>
                <w:strike/>
                <w:dstrike w:val="0"/>
                <w:vanish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spacing w:line="520" w:lineRule="exact"/>
              <w:jc w:val="left"/>
              <w:rPr>
                <w:rFonts w:hint="eastAsia" w:ascii="楷体_GB2312" w:hAnsi="楷体_GB2312" w:eastAsia="楷体_GB2312" w:cs="楷体_GB2312"/>
                <w:b/>
                <w:strike/>
                <w:dstrike w:val="0"/>
                <w:vanish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1491" w:type="dxa"/>
          </w:tcPr>
          <w:p>
            <w:pPr>
              <w:spacing w:line="520" w:lineRule="exact"/>
              <w:jc w:val="left"/>
              <w:rPr>
                <w:rFonts w:hint="eastAsia" w:ascii="楷体_GB2312" w:hAnsi="楷体_GB2312" w:eastAsia="楷体_GB2312" w:cs="楷体_GB2312"/>
                <w:b/>
                <w:strike/>
                <w:dstrike w:val="0"/>
                <w:vanish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spacing w:line="520" w:lineRule="exact"/>
              <w:jc w:val="left"/>
              <w:rPr>
                <w:rFonts w:hint="eastAsia" w:ascii="楷体_GB2312" w:hAnsi="楷体_GB2312" w:eastAsia="楷体_GB2312" w:cs="楷体_GB2312"/>
                <w:b/>
                <w:strike/>
                <w:dstrike w:val="0"/>
                <w:vanish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spacing w:line="520" w:lineRule="exact"/>
              <w:jc w:val="left"/>
              <w:rPr>
                <w:rFonts w:hint="eastAsia" w:ascii="楷体_GB2312" w:hAnsi="楷体_GB2312" w:eastAsia="楷体_GB2312" w:cs="楷体_GB2312"/>
                <w:b/>
                <w:strike/>
                <w:dstrike w:val="0"/>
                <w:vanish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spacing w:line="520" w:lineRule="exact"/>
              <w:jc w:val="left"/>
              <w:rPr>
                <w:rFonts w:hint="eastAsia" w:ascii="楷体_GB2312" w:hAnsi="楷体_GB2312" w:eastAsia="楷体_GB2312" w:cs="楷体_GB2312"/>
                <w:b/>
                <w:strike/>
                <w:dstrike w:val="0"/>
                <w:vanish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spacing w:line="520" w:lineRule="exact"/>
              <w:jc w:val="left"/>
              <w:rPr>
                <w:rFonts w:hint="eastAsia" w:ascii="楷体_GB2312" w:hAnsi="楷体_GB2312" w:eastAsia="楷体_GB2312" w:cs="楷体_GB2312"/>
                <w:b/>
                <w:strike/>
                <w:dstrike w:val="0"/>
                <w:vanish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spacing w:line="520" w:lineRule="exact"/>
              <w:jc w:val="left"/>
              <w:rPr>
                <w:rFonts w:hint="eastAsia" w:ascii="楷体_GB2312" w:hAnsi="楷体_GB2312" w:eastAsia="楷体_GB2312" w:cs="楷体_GB2312"/>
                <w:b/>
                <w:strike/>
                <w:dstrike w:val="0"/>
                <w:vanish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520" w:lineRule="exact"/>
        <w:jc w:val="left"/>
        <w:rPr>
          <w:rFonts w:hint="eastAsia" w:ascii="楷体_GB2312" w:hAnsi="楷体_GB2312" w:eastAsia="楷体_GB2312" w:cs="楷体_GB2312"/>
          <w:b/>
          <w:strike/>
          <w:dstrike w:val="0"/>
          <w:vanish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trike/>
          <w:dstrike w:val="0"/>
          <w:vanish/>
          <w:sz w:val="32"/>
          <w:szCs w:val="32"/>
          <w:lang w:val="en-US" w:eastAsia="zh-CN"/>
        </w:rPr>
        <w:t>三等奖</w:t>
      </w:r>
    </w:p>
    <w:p>
      <w:pPr>
        <w:spacing w:line="520" w:lineRule="exact"/>
        <w:jc w:val="left"/>
        <w:rPr>
          <w:rFonts w:hint="eastAsia" w:ascii="楷体_GB2312" w:hAnsi="楷体_GB2312" w:eastAsia="楷体_GB2312" w:cs="楷体_GB2312"/>
          <w:b/>
          <w:strike/>
          <w:dstrike w:val="0"/>
          <w:vanish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trike/>
          <w:dstrike w:val="0"/>
          <w:vanish/>
          <w:sz w:val="32"/>
          <w:szCs w:val="32"/>
          <w:lang w:val="en-US" w:eastAsia="zh-CN"/>
        </w:rPr>
        <w:t>三等奖</w:t>
      </w:r>
    </w:p>
    <w:sectPr>
      <w:footerReference r:id="rId6" w:type="first"/>
      <w:footerReference r:id="rId4" w:type="default"/>
      <w:footerReference r:id="rId5" w:type="even"/>
      <w:pgSz w:w="16838" w:h="11906" w:orient="landscape"/>
      <w:pgMar w:top="1588" w:right="1440" w:bottom="1588" w:left="1440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FF5DEA"/>
    <w:multiLevelType w:val="singleLevel"/>
    <w:tmpl w:val="DDFF5DE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7FDCF79"/>
    <w:multiLevelType w:val="singleLevel"/>
    <w:tmpl w:val="E7FDCF7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MzFiMmYxNTE2MmYzMTExNTgxNDIzMjM3NGRjOTMifQ=="/>
  </w:docVars>
  <w:rsids>
    <w:rsidRoot w:val="00E164C8"/>
    <w:rsid w:val="0000178C"/>
    <w:rsid w:val="00024004"/>
    <w:rsid w:val="00031DBB"/>
    <w:rsid w:val="000465E3"/>
    <w:rsid w:val="000C4E50"/>
    <w:rsid w:val="0012498F"/>
    <w:rsid w:val="001F1385"/>
    <w:rsid w:val="002B4AB5"/>
    <w:rsid w:val="002C1422"/>
    <w:rsid w:val="003D4882"/>
    <w:rsid w:val="004300F0"/>
    <w:rsid w:val="00474F76"/>
    <w:rsid w:val="00491855"/>
    <w:rsid w:val="00492831"/>
    <w:rsid w:val="00496DAA"/>
    <w:rsid w:val="004B1F7E"/>
    <w:rsid w:val="004F0D5D"/>
    <w:rsid w:val="00582F2E"/>
    <w:rsid w:val="005E6B1E"/>
    <w:rsid w:val="005F7A6C"/>
    <w:rsid w:val="00666B7F"/>
    <w:rsid w:val="00690A8B"/>
    <w:rsid w:val="006A6D40"/>
    <w:rsid w:val="006B63EE"/>
    <w:rsid w:val="006D733F"/>
    <w:rsid w:val="00732782"/>
    <w:rsid w:val="00761653"/>
    <w:rsid w:val="00791097"/>
    <w:rsid w:val="007A0596"/>
    <w:rsid w:val="00862E55"/>
    <w:rsid w:val="008B46DE"/>
    <w:rsid w:val="009075A1"/>
    <w:rsid w:val="00950240"/>
    <w:rsid w:val="009A3894"/>
    <w:rsid w:val="009A6D77"/>
    <w:rsid w:val="009D5B13"/>
    <w:rsid w:val="00A26708"/>
    <w:rsid w:val="00A53591"/>
    <w:rsid w:val="00A743BE"/>
    <w:rsid w:val="00A8488A"/>
    <w:rsid w:val="00AD1646"/>
    <w:rsid w:val="00AD498D"/>
    <w:rsid w:val="00AF673B"/>
    <w:rsid w:val="00B25624"/>
    <w:rsid w:val="00B30D6D"/>
    <w:rsid w:val="00B322BC"/>
    <w:rsid w:val="00B5152C"/>
    <w:rsid w:val="00B82928"/>
    <w:rsid w:val="00BB1386"/>
    <w:rsid w:val="00BB6BAB"/>
    <w:rsid w:val="00C36A0F"/>
    <w:rsid w:val="00CB71F8"/>
    <w:rsid w:val="00CD11A5"/>
    <w:rsid w:val="00CF6382"/>
    <w:rsid w:val="00CF6A9A"/>
    <w:rsid w:val="00D12498"/>
    <w:rsid w:val="00D36677"/>
    <w:rsid w:val="00D37662"/>
    <w:rsid w:val="00D560AF"/>
    <w:rsid w:val="00D82983"/>
    <w:rsid w:val="00D86192"/>
    <w:rsid w:val="00DC065F"/>
    <w:rsid w:val="00DD21D8"/>
    <w:rsid w:val="00DD47DA"/>
    <w:rsid w:val="00E146CD"/>
    <w:rsid w:val="00E164C8"/>
    <w:rsid w:val="00E27525"/>
    <w:rsid w:val="00E348AF"/>
    <w:rsid w:val="00E7042F"/>
    <w:rsid w:val="00EA13E4"/>
    <w:rsid w:val="00EF7E9A"/>
    <w:rsid w:val="00F0656F"/>
    <w:rsid w:val="00F21310"/>
    <w:rsid w:val="00F518AF"/>
    <w:rsid w:val="00F80F41"/>
    <w:rsid w:val="00FB1FFB"/>
    <w:rsid w:val="00FC4ACA"/>
    <w:rsid w:val="00FD4B36"/>
    <w:rsid w:val="07BC2175"/>
    <w:rsid w:val="0A2F3356"/>
    <w:rsid w:val="0FA53A62"/>
    <w:rsid w:val="0FBC121C"/>
    <w:rsid w:val="1295425B"/>
    <w:rsid w:val="14CD01FF"/>
    <w:rsid w:val="16DE3B38"/>
    <w:rsid w:val="185A2B56"/>
    <w:rsid w:val="18CC4541"/>
    <w:rsid w:val="193D6430"/>
    <w:rsid w:val="19624911"/>
    <w:rsid w:val="19E53203"/>
    <w:rsid w:val="1C273F78"/>
    <w:rsid w:val="1E245872"/>
    <w:rsid w:val="2037235D"/>
    <w:rsid w:val="21661111"/>
    <w:rsid w:val="217758BF"/>
    <w:rsid w:val="2304679B"/>
    <w:rsid w:val="238932AB"/>
    <w:rsid w:val="248B40E3"/>
    <w:rsid w:val="2504136D"/>
    <w:rsid w:val="29142BF4"/>
    <w:rsid w:val="29BA6374"/>
    <w:rsid w:val="2B49647B"/>
    <w:rsid w:val="2BEF7F55"/>
    <w:rsid w:val="2D042820"/>
    <w:rsid w:val="2D2533DB"/>
    <w:rsid w:val="2E6D6B17"/>
    <w:rsid w:val="2F391C13"/>
    <w:rsid w:val="2F911A4F"/>
    <w:rsid w:val="31367043"/>
    <w:rsid w:val="330759F7"/>
    <w:rsid w:val="3A7D7B20"/>
    <w:rsid w:val="3A8F6B2B"/>
    <w:rsid w:val="3C447E49"/>
    <w:rsid w:val="3D690B3F"/>
    <w:rsid w:val="3DC2371B"/>
    <w:rsid w:val="3E1242B9"/>
    <w:rsid w:val="3ED71449"/>
    <w:rsid w:val="3FB01EAB"/>
    <w:rsid w:val="40290958"/>
    <w:rsid w:val="4058726B"/>
    <w:rsid w:val="415C79E3"/>
    <w:rsid w:val="435C6887"/>
    <w:rsid w:val="454402D9"/>
    <w:rsid w:val="483E7E42"/>
    <w:rsid w:val="4BF04D59"/>
    <w:rsid w:val="4E02039D"/>
    <w:rsid w:val="4F556C72"/>
    <w:rsid w:val="50F07683"/>
    <w:rsid w:val="53EF2F25"/>
    <w:rsid w:val="55356161"/>
    <w:rsid w:val="5553606B"/>
    <w:rsid w:val="55684A29"/>
    <w:rsid w:val="562C519C"/>
    <w:rsid w:val="583F72DB"/>
    <w:rsid w:val="593877AE"/>
    <w:rsid w:val="5D320DA7"/>
    <w:rsid w:val="5DC34C1A"/>
    <w:rsid w:val="5EED688A"/>
    <w:rsid w:val="6333125B"/>
    <w:rsid w:val="64340620"/>
    <w:rsid w:val="66E36B59"/>
    <w:rsid w:val="6732696D"/>
    <w:rsid w:val="67492634"/>
    <w:rsid w:val="68975621"/>
    <w:rsid w:val="6BA6556B"/>
    <w:rsid w:val="6DE035C6"/>
    <w:rsid w:val="70C461FD"/>
    <w:rsid w:val="740849EB"/>
    <w:rsid w:val="78056681"/>
    <w:rsid w:val="7A85177D"/>
    <w:rsid w:val="7F876E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link w:val="14"/>
    <w:qFormat/>
    <w:uiPriority w:val="0"/>
    <w:pPr>
      <w:widowControl/>
      <w:spacing w:line="300" w:lineRule="auto"/>
      <w:ind w:firstLine="480"/>
    </w:pPr>
    <w:rPr>
      <w:kern w:val="0"/>
      <w:sz w:val="24"/>
      <w:u w:val="single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24"/>
      <w:szCs w:val="2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customStyle="1" w:styleId="14">
    <w:name w:val="正文文本缩进 Char"/>
    <w:basedOn w:val="11"/>
    <w:link w:val="3"/>
    <w:qFormat/>
    <w:uiPriority w:val="0"/>
    <w:rPr>
      <w:sz w:val="24"/>
      <w:u w:val="single"/>
    </w:rPr>
  </w:style>
  <w:style w:type="character" w:customStyle="1" w:styleId="15">
    <w:name w:val="页脚 Char"/>
    <w:link w:val="6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16">
    <w:name w:val="页眉 Char"/>
    <w:link w:val="7"/>
    <w:qFormat/>
    <w:uiPriority w:val="0"/>
    <w:rPr>
      <w:kern w:val="2"/>
      <w:sz w:val="18"/>
      <w:szCs w:val="18"/>
    </w:rPr>
  </w:style>
  <w:style w:type="paragraph" w:customStyle="1" w:styleId="1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">
    <w:name w:val="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footer" Target="footer3.xml"/>
  <Relationship Id="rId6" Type="http://schemas.openxmlformats.org/officeDocument/2006/relationships/footer" Target="footer4.xml"/>
  <Relationship Id="rId7" Type="http://schemas.openxmlformats.org/officeDocument/2006/relationships/theme" Target="theme/theme1.xml"/>
  <Relationship Id="rId8" Type="http://schemas.openxmlformats.org/officeDocument/2006/relationships/customXml" Target="../customXml/item1.xml"/>
  <Relationship Id="rId9" Type="http://schemas.openxmlformats.org/officeDocument/2006/relationships/numbering" Target="numbering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2509</Words>
  <Characters>2703</Characters>
  <Lines>8</Lines>
  <Paragraphs>2</Paragraphs>
  <TotalTime>2</TotalTime>
  <ScaleCrop>false</ScaleCrop>
  <LinksUpToDate>false</LinksUpToDate>
  <CharactersWithSpaces>2891</CharactersWithSpaces>
  <Application>WPS Office_11.1.0.13703_F1E327BC-269C-435d-A152-05C5408002CA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2019-05-21T02:44:00Z</dcterms:created>
  <dc:creator>AutoBVT</dc:creator>
  <lastModifiedBy>_zyQ</lastModifiedBy>
  <lastPrinted>2019-05-21T02:44:00Z</lastPrinted>
  <dcterms:modified xsi:type="dcterms:W3CDTF">2023-03-02T03:41:26Z</dcterms:modified>
  <revision>2</revision>
  <dc:title>湖南科技学院教务处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D8A4E6E1B01B4C98A87365839FB3036C</vt:lpwstr>
  </property>
</Properties>
</file>