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36"/>
          <w:szCs w:val="36"/>
        </w:rPr>
      </w:pPr>
      <w:r>
        <w:rPr>
          <w:rStyle w:val="6"/>
          <w:rFonts w:hint="eastAsia" w:ascii="黑体" w:hAnsi="黑体" w:eastAsia="黑体" w:cs="黑体"/>
          <w:i w:val="0"/>
          <w:caps w:val="0"/>
          <w:color w:val="333333"/>
          <w:spacing w:val="0"/>
          <w:sz w:val="28"/>
          <w:szCs w:val="28"/>
          <w:bdr w:val="none" w:color="auto" w:sz="0" w:space="0"/>
          <w:shd w:val="clear" w:fill="FFFFFF"/>
        </w:rPr>
        <w:t>中建装饰&amp;中建方圆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36"/>
          <w:szCs w:val="36"/>
        </w:rPr>
      </w:pPr>
      <w:bookmarkStart w:id="0" w:name="_GoBack"/>
      <w:r>
        <w:rPr>
          <w:rStyle w:val="6"/>
          <w:rFonts w:hint="eastAsia" w:ascii="黑体" w:hAnsi="黑体" w:eastAsia="黑体" w:cs="黑体"/>
          <w:i w:val="0"/>
          <w:caps w:val="0"/>
          <w:color w:val="333333"/>
          <w:spacing w:val="0"/>
          <w:sz w:val="28"/>
          <w:szCs w:val="28"/>
          <w:bdr w:val="none" w:color="auto" w:sz="0" w:space="0"/>
          <w:shd w:val="clear" w:fill="FFFFFF"/>
        </w:rPr>
        <w:t>深圳海外装饰工程有限公司2020届校园招聘简章</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rPr>
          <w:rFonts w:hint="eastAsia" w:ascii="仿宋" w:hAnsi="仿宋" w:eastAsia="仿宋" w:cs="仿宋"/>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一、企业简介：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深圳海外装饰工程有限公司成立于1981年，是中国第一家国有装饰企业，唯一一家荣获“全国质量奖”的建筑装饰企业，国家高新科技企业，是中国建筑的三级单位。拥有建筑装饰施工壹级和设计甲级资质，是中国建筑装饰行业百强企业、中国建筑装饰行业及全国AAA等级信用企业、广东省守合同重信用企业，是中国建筑装饰协会发起及常务理事单位、深圳市装饰行业协会副会长单位和北京市建筑装饰协会副会长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公司总部位于深圳市，总部大楼坐落在深圳最繁华的华强北中心公园地段。公司下设北方、上海、广东、四川、武汉（展陈）、海外六个区域公司。海外装饰足迹遍及全国100多个大中型城市、港澳地区及北非、中东、东南亚，形成了以“东西南北中”+“一带一路”的市场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海外装饰的成立犹如星星之火，在广袤的中国大地上急速蔓延，由此拉开了中国建筑装饰企业发展的序幕，以燎原之势成就了一个朝阳产业，并最终燃起了熊熊烈火，开创了中国建筑装饰领域的崭新时代。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公司成立38年来，始终如一地推动并引领行业发展，在现代高端写字楼、文教场馆、高档酒店、交通设施、大型幕墙等领域都取得了斐然业绩，近年来先后承接了中央电视台新台址、敦煌国际酒店、腾讯滨海大厦（鹅厂总部）、北京腾讯大厦、成都云端项目（欧盟中心）、上海世博会中国铁路馆、船舶馆、贵阳高铁北站、深圳市地铁9号线等国家重点项目。此外，海外装饰业务不断向海外延伸拓展，近年来先后承接了阿尔及利亚嘉玛大清真寺、阿尔及尔机场航站楼、迪拜硅谷园、迪拜世博园、马来西亚富力公主湾等大型境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公司为装饰行业培养了一大批高端专业人才，有装饰行业“黄埔军校”之称。成立至今，我们秉承“鼓励成长 绩效为先 创新发展”的人才观，引进各类优秀毕业生近千人。从公司走出来的项目经理、装饰经营管理人才遍布整个建筑装饰行业，公司目前超过60%的中高层人员、部门骨干、项目经理及商务经理均来自于历年招聘的应届毕业生。公司每年举办一级建造师培训，通过20余人；现有全国优秀项目经理百余人；连续举办15年的“卓越动力训练营”成为公司人才成长的摇篮，独具特色的人才培养晋升体系已成为公司核心竞争力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海外装饰诚挚邀请您的加入！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二、招聘需求：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25"/>
        <w:gridCol w:w="1229"/>
        <w:gridCol w:w="1445"/>
        <w:gridCol w:w="2788"/>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3" w:hRule="atLeast"/>
        </w:trPr>
        <w:tc>
          <w:tcPr>
            <w:tcW w:w="925" w:type="dxa"/>
            <w:tcBorders>
              <w:top w:val="single" w:color="auto" w:sz="4" w:space="0"/>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序号</w:t>
            </w:r>
          </w:p>
        </w:tc>
        <w:tc>
          <w:tcPr>
            <w:tcW w:w="2674" w:type="dxa"/>
            <w:gridSpan w:val="2"/>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需求岗位</w:t>
            </w:r>
          </w:p>
        </w:tc>
        <w:tc>
          <w:tcPr>
            <w:tcW w:w="2788"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需求专业</w:t>
            </w:r>
          </w:p>
        </w:tc>
        <w:tc>
          <w:tcPr>
            <w:tcW w:w="1711"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w:t>
            </w:r>
          </w:p>
        </w:tc>
        <w:tc>
          <w:tcPr>
            <w:tcW w:w="1229" w:type="dxa"/>
            <w:vMerge w:val="restart"/>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施工管理</w:t>
            </w: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施工管理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土木工程、市政工程及相关专业</w:t>
            </w:r>
          </w:p>
        </w:tc>
        <w:tc>
          <w:tcPr>
            <w:tcW w:w="1711"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2</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施工管理（海外）</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土木工程、市政工程及相关专业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3</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质量管理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土木工程、市政工程及相关专业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4</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技术管理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土木工程、工程力学、及相关专业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5</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安全管理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安全工程及相关专业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6</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商务管理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工程管理、工程造价及相关专业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7</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商务管理（海外）</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工程管理、工程造价及相关专业（需过英语六级）</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8</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物资管理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国际经贸、物资管理、物流管理经济学、材料学及相关专业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9</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机电管理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电气工程及其自动、给排水工程、暖通及相关专业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8"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10</w:t>
            </w:r>
          </w:p>
        </w:tc>
        <w:tc>
          <w:tcPr>
            <w:tcW w:w="1229" w:type="dxa"/>
            <w:vMerge w:val="restart"/>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设计管理</w:t>
            </w: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深化设计</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建筑设计、室内设计、环艺设计、平面设计、展陈设计、园林景观</w:t>
            </w:r>
          </w:p>
        </w:tc>
        <w:tc>
          <w:tcPr>
            <w:tcW w:w="1711"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12</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BIM管理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土木工程及相关专业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13</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市政规划</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市政规划设计、风景园林设计</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11</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幕墙设计</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建筑设计、力学设计、展陈设计</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14</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行政管理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行政管理、工商管理、中文及相关专业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15</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信息管理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信息技术、信息管理及其相关专业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16</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财务管理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会计学、财务、税法及相关专业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17</w:t>
            </w:r>
          </w:p>
        </w:tc>
        <w:tc>
          <w:tcPr>
            <w:tcW w:w="1229" w:type="dxa"/>
            <w:vMerge w:val="restart"/>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市场营销</w:t>
            </w: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资格预审</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计算机及相关专业</w:t>
            </w:r>
          </w:p>
        </w:tc>
        <w:tc>
          <w:tcPr>
            <w:tcW w:w="1711"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18</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市场营销</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市场营销、建筑工程及相关专业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19</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人力资源管理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人力资源、行政管理及相关专业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20</w:t>
            </w:r>
          </w:p>
        </w:tc>
        <w:tc>
          <w:tcPr>
            <w:tcW w:w="2674" w:type="dxa"/>
            <w:gridSpan w:val="2"/>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党建、群团管理</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行政管理、新闻学、中文、汉语语言文学类</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21</w:t>
            </w:r>
          </w:p>
        </w:tc>
        <w:tc>
          <w:tcPr>
            <w:tcW w:w="1229" w:type="dxa"/>
            <w:vMerge w:val="restart"/>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法务管理</w:t>
            </w: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纪检监察岗</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文史哲类专业</w:t>
            </w:r>
          </w:p>
        </w:tc>
        <w:tc>
          <w:tcPr>
            <w:tcW w:w="1711" w:type="dxa"/>
            <w:tcBorders>
              <w:top w:val="single" w:color="auto" w:sz="4" w:space="0"/>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22</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内部审计岗</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审计、会计或经济类专业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2" w:hRule="atLeast"/>
        </w:trPr>
        <w:tc>
          <w:tcPr>
            <w:tcW w:w="925" w:type="dxa"/>
            <w:tcBorders>
              <w:top w:val="nil"/>
              <w:left w:val="single" w:color="auto" w:sz="4" w:space="0"/>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23</w:t>
            </w:r>
          </w:p>
        </w:tc>
        <w:tc>
          <w:tcPr>
            <w:tcW w:w="1229" w:type="dxa"/>
            <w:vMerge w:val="continue"/>
            <w:tcBorders>
              <w:top w:val="nil"/>
              <w:left w:val="nil"/>
              <w:bottom w:val="single" w:color="auto" w:sz="4" w:space="0"/>
              <w:right w:val="single" w:color="auto" w:sz="4" w:space="0"/>
            </w:tcBorders>
            <w:shd w:val="clear"/>
            <w:tcMar>
              <w:top w:w="10" w:type="dxa"/>
              <w:left w:w="10" w:type="dxa"/>
              <w:bottom w:w="0" w:type="dxa"/>
              <w:right w:w="10" w:type="dxa"/>
            </w:tcMar>
            <w:vAlign w:val="center"/>
          </w:tcPr>
          <w:p>
            <w:pPr>
              <w:rPr>
                <w:rFonts w:hint="eastAsia" w:ascii="宋体"/>
                <w:sz w:val="24"/>
                <w:szCs w:val="24"/>
              </w:rPr>
            </w:pPr>
          </w:p>
        </w:tc>
        <w:tc>
          <w:tcPr>
            <w:tcW w:w="1445"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法务管理岗</w:t>
            </w:r>
          </w:p>
        </w:tc>
        <w:tc>
          <w:tcPr>
            <w:tcW w:w="2788"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法学等相关专业</w:t>
            </w:r>
          </w:p>
        </w:tc>
        <w:tc>
          <w:tcPr>
            <w:tcW w:w="1711" w:type="dxa"/>
            <w:tcBorders>
              <w:top w:val="nil"/>
              <w:left w:val="nil"/>
              <w:bottom w:val="single" w:color="auto" w:sz="4" w:space="0"/>
              <w:right w:val="single" w:color="auto" w:sz="4" w:space="0"/>
            </w:tcBorders>
            <w:shd w:val="clear"/>
            <w:tcMar>
              <w:top w:w="10" w:type="dxa"/>
              <w:left w:w="10" w:type="dxa"/>
              <w:bottom w:w="0" w:type="dxa"/>
              <w:right w:w="1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19"/>
                <w:szCs w:val="19"/>
                <w:bdr w:val="none" w:color="auto" w:sz="0" w:space="0"/>
              </w:rPr>
              <w:t>本科及以上</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三、招聘流程：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校园宣讲、投递简历、简历筛选、初试、复试、签订协议。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四、招聘条件：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1、诚实可信,为人正直，勤奋踏实，积极向上；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2、热爱建筑装饰行业，认同企业文化，服从组织安排；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3、具有良好的沟通表达能力，团队合作、组织协调能力强；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4、学习成绩良好，专业课程无挂科，本科英语四级及以上（设计专业除外），硕士英语六级及以上；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5、熟练使用办公软件及专业软件；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6、党员、学生干部及有专业实习、社会实践者优先录用。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五、简历投递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1、招聘邮箱：</w:t>
      </w:r>
      <w:r>
        <w:rPr>
          <w:rFonts w:hint="eastAsia" w:ascii="微软雅黑" w:hAnsi="微软雅黑" w:eastAsia="微软雅黑" w:cs="微软雅黑"/>
          <w:i w:val="0"/>
          <w:caps w:val="0"/>
          <w:color w:val="333333"/>
          <w:spacing w:val="0"/>
          <w:sz w:val="14"/>
          <w:szCs w:val="1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4"/>
          <w:szCs w:val="14"/>
          <w:u w:val="none"/>
          <w:bdr w:val="none" w:color="auto" w:sz="0" w:space="0"/>
          <w:shd w:val="clear" w:fill="FFFFFF"/>
        </w:rPr>
        <w:instrText xml:space="preserve"> HYPERLINK "mailto:hwzs-hr@cscec.com" </w:instrText>
      </w:r>
      <w:r>
        <w:rPr>
          <w:rFonts w:hint="eastAsia" w:ascii="微软雅黑" w:hAnsi="微软雅黑" w:eastAsia="微软雅黑" w:cs="微软雅黑"/>
          <w:i w:val="0"/>
          <w:caps w:val="0"/>
          <w:color w:val="333333"/>
          <w:spacing w:val="0"/>
          <w:sz w:val="14"/>
          <w:szCs w:val="14"/>
          <w:u w:val="none"/>
          <w:bdr w:val="none" w:color="auto" w:sz="0" w:space="0"/>
          <w:shd w:val="clear" w:fill="FFFFFF"/>
        </w:rPr>
        <w:fldChar w:fldCharType="separate"/>
      </w:r>
      <w:r>
        <w:rPr>
          <w:rStyle w:val="7"/>
          <w:rFonts w:hint="eastAsia" w:ascii="仿宋" w:hAnsi="仿宋" w:eastAsia="仿宋" w:cs="仿宋"/>
          <w:i w:val="0"/>
          <w:caps w:val="0"/>
          <w:color w:val="333333"/>
          <w:spacing w:val="0"/>
          <w:sz w:val="19"/>
          <w:szCs w:val="19"/>
          <w:u w:val="none"/>
          <w:bdr w:val="none" w:color="auto" w:sz="0" w:space="0"/>
          <w:shd w:val="clear" w:fill="FFFFFF"/>
        </w:rPr>
        <w:t>hwzs-hr@cscec.com</w:t>
      </w:r>
      <w:r>
        <w:rPr>
          <w:rFonts w:hint="eastAsia" w:ascii="微软雅黑" w:hAnsi="微软雅黑" w:eastAsia="微软雅黑" w:cs="微软雅黑"/>
          <w:i w:val="0"/>
          <w:caps w:val="0"/>
          <w:color w:val="333333"/>
          <w:spacing w:val="0"/>
          <w:sz w:val="14"/>
          <w:szCs w:val="14"/>
          <w:u w:val="none"/>
          <w:bdr w:val="none" w:color="auto" w:sz="0" w:space="0"/>
          <w:shd w:val="clear" w:fill="FFFFFF"/>
        </w:rPr>
        <w:fldChar w:fldCharType="end"/>
      </w:r>
      <w:r>
        <w:rPr>
          <w:rFonts w:hint="eastAsia" w:ascii="仿宋" w:hAnsi="仿宋" w:eastAsia="仿宋" w:cs="仿宋"/>
          <w:i w:val="0"/>
          <w:caps w:val="0"/>
          <w:color w:val="333333"/>
          <w:spacing w:val="0"/>
          <w:sz w:val="19"/>
          <w:szCs w:val="19"/>
          <w:bdr w:val="none" w:color="auto" w:sz="0" w:space="0"/>
          <w:shd w:val="clear" w:fill="FFFFFF"/>
        </w:rPr>
        <w:t> ,统一简历格式:学校+专业+姓名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2、扫码加入海外装饰校招面试群（群号码：815064346），备注：意向岗位-学校-专业-姓名，发送简历给管理员。（由于申请人数较多，请同学们耐心等待审核。）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center"/>
      </w:pPr>
      <w:r>
        <w:rPr>
          <w:rFonts w:hint="eastAsia" w:ascii="仿宋" w:hAnsi="仿宋" w:eastAsia="仿宋" w:cs="仿宋"/>
          <w:i w:val="0"/>
          <w:caps w:val="0"/>
          <w:color w:val="333333"/>
          <w:spacing w:val="0"/>
          <w:sz w:val="19"/>
          <w:szCs w:val="19"/>
          <w:bdr w:val="none" w:color="auto" w:sz="0" w:space="0"/>
          <w:shd w:val="clear" w:fill="FFFFFF"/>
        </w:rPr>
        <w:t> </w:t>
      </w:r>
      <w:r>
        <w:rPr>
          <w:rFonts w:hint="eastAsia" w:ascii="微软雅黑" w:hAnsi="微软雅黑" w:eastAsia="微软雅黑" w:cs="微软雅黑"/>
          <w:i w:val="0"/>
          <w:caps w:val="0"/>
          <w:color w:val="333333"/>
          <w:spacing w:val="0"/>
          <w:sz w:val="14"/>
          <w:szCs w:val="14"/>
          <w:shd w:val="clear" w:fill="FFFFFF"/>
        </w:rPr>
        <w:drawing>
          <wp:inline distT="0" distB="0" distL="114300" distR="114300">
            <wp:extent cx="2266950" cy="2381250"/>
            <wp:effectExtent l="0" t="0" r="635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66950" cy="2381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六、福利待遇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1、提供住宿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2、深圳户口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3、应届毕业生安家费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4、六险二金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5、绩效奖金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6、多项补贴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7、法定节假日过节费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8、带薪年假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9、免费体检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10、职业发展培养体系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11、多渠道晋升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12、导师带徒体系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七、联系我们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联系人：  曾经理 0755-23943585；13242400316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公司地址：深圳福田区振华路122号海外装饰大厦A座8楼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企业网址：http://hwzs.deco.cscec.com/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企业微信：海外装饰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jc w:val="center"/>
      </w:pPr>
      <w:r>
        <w:rPr>
          <w:rFonts w:hint="eastAsia" w:ascii="仿宋" w:hAnsi="仿宋" w:eastAsia="仿宋" w:cs="仿宋"/>
          <w:i w:val="0"/>
          <w:caps w:val="0"/>
          <w:color w:val="333333"/>
          <w:spacing w:val="0"/>
          <w:sz w:val="19"/>
          <w:szCs w:val="19"/>
          <w:bdr w:val="none" w:color="auto" w:sz="0" w:space="0"/>
          <w:shd w:val="clear" w:fill="FFFFFF"/>
        </w:rPr>
        <w:t>                     深圳海外装饰工程有限公司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70"/>
      </w:pPr>
      <w:r>
        <w:rPr>
          <w:rFonts w:hint="eastAsia" w:ascii="仿宋" w:hAnsi="仿宋" w:eastAsia="仿宋" w:cs="仿宋"/>
          <w:i w:val="0"/>
          <w:caps w:val="0"/>
          <w:color w:val="333333"/>
          <w:spacing w:val="0"/>
          <w:sz w:val="19"/>
          <w:szCs w:val="19"/>
          <w:bdr w:val="none" w:color="auto" w:sz="0" w:space="0"/>
          <w:shd w:val="clear" w:fill="FFFFFF"/>
        </w:rPr>
        <w:t>                                    人力资源部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550"/>
        <w:jc w:val="both"/>
      </w:pPr>
      <w:r>
        <w:rPr>
          <w:rFonts w:hint="eastAsia" w:ascii="仿宋" w:hAnsi="仿宋" w:eastAsia="仿宋" w:cs="仿宋"/>
          <w:i w:val="0"/>
          <w:caps w:val="0"/>
          <w:color w:val="333333"/>
          <w:spacing w:val="0"/>
          <w:sz w:val="19"/>
          <w:szCs w:val="19"/>
          <w:bdr w:val="none" w:color="auto" w:sz="0" w:space="0"/>
          <w:shd w:val="clear" w:fill="FFFFFF"/>
        </w:rPr>
        <w:t>   2019年8月15日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D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2021-06-01T10:43:02Z</dcterms:created>
  <dc:creator>86189</dc:creator>
  <lastModifiedBy>Laity</lastModifiedBy>
  <dcterms:modified xsi:type="dcterms:W3CDTF">2021-06-01T10:44:07Z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