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201</w:t>
      </w:r>
      <w:r>
        <w:rPr>
          <w:rFonts w:hint="eastAsia" w:ascii="方正小标宋简体" w:hAnsi="方正小标宋简体" w:eastAsia="方正小标宋简体" w:cs="方正小标宋简体"/>
          <w:b w:val="0"/>
          <w:bCs/>
          <w:sz w:val="36"/>
          <w:szCs w:val="36"/>
          <w:lang w:val="en-US" w:eastAsia="zh-CN"/>
        </w:rPr>
        <w:t>9</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第六</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4</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26</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4</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30</w:t>
      </w:r>
      <w:r>
        <w:rPr>
          <w:rFonts w:hint="eastAsia" w:ascii="方正小标宋简体" w:hAnsi="方正小标宋简体" w:eastAsia="方正小标宋简体" w:cs="方正小标宋简体"/>
          <w:b w:val="0"/>
          <w:bCs w:val="0"/>
          <w:sz w:val="30"/>
          <w:szCs w:val="30"/>
        </w:rPr>
        <w:t>日）</w:t>
      </w:r>
    </w:p>
    <w:p>
      <w:pPr>
        <w:jc w:val="center"/>
        <w:rPr>
          <w:rFonts w:hint="eastAsia" w:ascii="仿宋_GB2312" w:hAnsi="仿宋_GB2312" w:eastAsia="仿宋_GB2312" w:cs="仿宋_GB2312"/>
          <w:sz w:val="24"/>
          <w:szCs w:val="24"/>
        </w:rPr>
      </w:pPr>
      <w:r>
        <w:rPr>
          <w:rFonts w:hint="eastAsia"/>
          <w:sz w:val="24"/>
          <w:szCs w:val="24"/>
        </w:rPr>
        <w:t xml:space="preserve">                                                                   </w:t>
      </w:r>
      <w:r>
        <w:rPr>
          <w:rFonts w:hint="eastAsia"/>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val="0"/>
          <w:bCs w:val="0"/>
          <w:sz w:val="24"/>
          <w:szCs w:val="24"/>
        </w:rPr>
        <w:t>湖南科技学院后勤服务总公司办公室</w:t>
      </w:r>
    </w:p>
    <w:tbl>
      <w:tblPr>
        <w:tblStyle w:val="4"/>
        <w:tblW w:w="13957"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867"/>
        <w:gridCol w:w="1366"/>
        <w:gridCol w:w="2263"/>
        <w:gridCol w:w="5216"/>
        <w:gridCol w:w="1084"/>
        <w:gridCol w:w="1302"/>
        <w:gridCol w:w="185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867"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auto"/>
                <w:spacing w:val="14"/>
                <w:sz w:val="24"/>
                <w:szCs w:val="24"/>
                <w:lang w:val="en-US" w:eastAsia="zh-CN"/>
              </w:rPr>
            </w:pPr>
            <w:r>
              <w:rPr>
                <w:rFonts w:hint="eastAsia" w:ascii="黑体" w:hAnsi="黑体" w:eastAsia="黑体" w:cs="黑体"/>
                <w:b w:val="0"/>
                <w:bCs w:val="0"/>
                <w:color w:val="auto"/>
                <w:spacing w:val="14"/>
                <w:sz w:val="24"/>
                <w:szCs w:val="24"/>
                <w:lang w:val="en-US" w:eastAsia="zh-CN"/>
              </w:rPr>
              <w:t>序号</w:t>
            </w:r>
          </w:p>
        </w:tc>
        <w:tc>
          <w:tcPr>
            <w:tcW w:w="1366"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auto"/>
                <w:spacing w:val="14"/>
                <w:sz w:val="24"/>
                <w:szCs w:val="24"/>
              </w:rPr>
            </w:pPr>
            <w:r>
              <w:rPr>
                <w:rFonts w:hint="eastAsia" w:ascii="黑体" w:hAnsi="黑体" w:eastAsia="黑体" w:cs="黑体"/>
                <w:b w:val="0"/>
                <w:bCs w:val="0"/>
                <w:color w:val="auto"/>
                <w:spacing w:val="14"/>
                <w:sz w:val="24"/>
                <w:szCs w:val="24"/>
              </w:rPr>
              <w:t>部门</w:t>
            </w:r>
          </w:p>
        </w:tc>
        <w:tc>
          <w:tcPr>
            <w:tcW w:w="2263"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auto"/>
                <w:spacing w:val="14"/>
                <w:sz w:val="24"/>
                <w:szCs w:val="24"/>
              </w:rPr>
            </w:pPr>
            <w:r>
              <w:rPr>
                <w:rFonts w:hint="eastAsia" w:ascii="黑体" w:hAnsi="黑体" w:eastAsia="黑体" w:cs="黑体"/>
                <w:b w:val="0"/>
                <w:bCs w:val="0"/>
                <w:color w:val="auto"/>
                <w:spacing w:val="14"/>
                <w:sz w:val="24"/>
                <w:szCs w:val="24"/>
              </w:rPr>
              <w:t>工作名称及内容</w:t>
            </w:r>
          </w:p>
        </w:tc>
        <w:tc>
          <w:tcPr>
            <w:tcW w:w="5216"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auto"/>
                <w:spacing w:val="14"/>
                <w:sz w:val="24"/>
                <w:szCs w:val="24"/>
              </w:rPr>
            </w:pPr>
            <w:r>
              <w:rPr>
                <w:rFonts w:hint="eastAsia" w:ascii="黑体" w:hAnsi="黑体" w:eastAsia="黑体" w:cs="黑体"/>
                <w:b w:val="0"/>
                <w:bCs w:val="0"/>
                <w:color w:val="auto"/>
                <w:spacing w:val="14"/>
                <w:sz w:val="24"/>
                <w:szCs w:val="24"/>
              </w:rPr>
              <w:t>要求和目标</w:t>
            </w:r>
          </w:p>
        </w:tc>
        <w:tc>
          <w:tcPr>
            <w:tcW w:w="2386"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auto"/>
                <w:spacing w:val="14"/>
                <w:sz w:val="24"/>
                <w:szCs w:val="24"/>
              </w:rPr>
            </w:pPr>
            <w:r>
              <w:rPr>
                <w:rFonts w:hint="eastAsia" w:ascii="黑体" w:hAnsi="黑体" w:eastAsia="黑体" w:cs="黑体"/>
                <w:b w:val="0"/>
                <w:bCs w:val="0"/>
                <w:color w:val="auto"/>
                <w:spacing w:val="14"/>
                <w:sz w:val="24"/>
                <w:szCs w:val="24"/>
              </w:rPr>
              <w:t>责任人</w:t>
            </w:r>
          </w:p>
        </w:tc>
        <w:tc>
          <w:tcPr>
            <w:tcW w:w="1859"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auto"/>
                <w:spacing w:val="14"/>
                <w:sz w:val="24"/>
                <w:szCs w:val="24"/>
              </w:rPr>
            </w:pPr>
            <w:r>
              <w:rPr>
                <w:rFonts w:hint="eastAsia" w:ascii="黑体" w:hAnsi="黑体" w:eastAsia="黑体" w:cs="黑体"/>
                <w:b w:val="0"/>
                <w:bCs w:val="0"/>
                <w:color w:val="auto"/>
                <w:spacing w:val="14"/>
                <w:sz w:val="24"/>
                <w:szCs w:val="24"/>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30" w:hRule="atLeast"/>
          <w:jc w:val="center"/>
        </w:trPr>
        <w:tc>
          <w:tcPr>
            <w:tcW w:w="867" w:type="dxa"/>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color w:val="auto"/>
                <w:spacing w:val="14"/>
                <w:sz w:val="24"/>
                <w:szCs w:val="24"/>
              </w:rPr>
            </w:pPr>
          </w:p>
        </w:tc>
        <w:tc>
          <w:tcPr>
            <w:tcW w:w="1366" w:type="dxa"/>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color w:val="auto"/>
                <w:spacing w:val="14"/>
                <w:sz w:val="24"/>
                <w:szCs w:val="24"/>
              </w:rPr>
            </w:pPr>
          </w:p>
        </w:tc>
        <w:tc>
          <w:tcPr>
            <w:tcW w:w="2263"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color w:val="auto"/>
                <w:spacing w:val="14"/>
                <w:sz w:val="24"/>
                <w:szCs w:val="24"/>
              </w:rPr>
            </w:pPr>
          </w:p>
        </w:tc>
        <w:tc>
          <w:tcPr>
            <w:tcW w:w="5216"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color w:val="auto"/>
                <w:spacing w:val="14"/>
                <w:sz w:val="24"/>
                <w:szCs w:val="24"/>
              </w:rPr>
            </w:pPr>
          </w:p>
        </w:tc>
        <w:tc>
          <w:tcPr>
            <w:tcW w:w="1084"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textAlignment w:val="auto"/>
              <w:rPr>
                <w:rFonts w:hint="eastAsia" w:ascii="黑体" w:hAnsi="黑体" w:eastAsia="黑体" w:cs="黑体"/>
                <w:b w:val="0"/>
                <w:bCs w:val="0"/>
                <w:color w:val="auto"/>
                <w:spacing w:val="14"/>
                <w:sz w:val="24"/>
                <w:szCs w:val="24"/>
              </w:rPr>
            </w:pPr>
            <w:r>
              <w:rPr>
                <w:rFonts w:hint="eastAsia" w:ascii="黑体" w:hAnsi="黑体" w:eastAsia="黑体" w:cs="黑体"/>
                <w:b w:val="0"/>
                <w:bCs w:val="0"/>
                <w:color w:val="auto"/>
                <w:spacing w:val="14"/>
                <w:sz w:val="24"/>
                <w:szCs w:val="24"/>
              </w:rPr>
              <w:t>负责人</w:t>
            </w:r>
          </w:p>
        </w:tc>
        <w:tc>
          <w:tcPr>
            <w:tcW w:w="130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auto"/>
                <w:spacing w:val="14"/>
                <w:sz w:val="24"/>
                <w:szCs w:val="24"/>
              </w:rPr>
            </w:pPr>
            <w:r>
              <w:rPr>
                <w:rFonts w:hint="eastAsia" w:ascii="黑体" w:hAnsi="黑体" w:eastAsia="黑体" w:cs="黑体"/>
                <w:b w:val="0"/>
                <w:bCs w:val="0"/>
                <w:color w:val="auto"/>
                <w:spacing w:val="14"/>
                <w:sz w:val="24"/>
                <w:szCs w:val="24"/>
              </w:rPr>
              <w:t>责任领导</w:t>
            </w:r>
          </w:p>
        </w:tc>
        <w:tc>
          <w:tcPr>
            <w:tcW w:w="1859"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7" w:hRule="atLeast"/>
          <w:jc w:val="center"/>
        </w:trPr>
        <w:tc>
          <w:tcPr>
            <w:tcW w:w="86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1</w:t>
            </w:r>
          </w:p>
        </w:tc>
        <w:tc>
          <w:tcPr>
            <w:tcW w:w="1366" w:type="dxa"/>
            <w:vMerge w:val="restart"/>
            <w:tcBorders>
              <w:top w:val="single" w:color="auto" w:sz="4" w:space="0"/>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餐饮中心</w:t>
            </w:r>
          </w:p>
        </w:tc>
        <w:tc>
          <w:tcPr>
            <w:tcW w:w="2263"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教工食堂消毒</w:t>
            </w:r>
          </w:p>
        </w:tc>
        <w:tc>
          <w:tcPr>
            <w:tcW w:w="521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每日进行食堂消毒，保证教工就餐安全卫生</w:t>
            </w:r>
          </w:p>
        </w:tc>
        <w:tc>
          <w:tcPr>
            <w:tcW w:w="1084" w:type="dxa"/>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李俊</w:t>
            </w:r>
          </w:p>
        </w:tc>
        <w:tc>
          <w:tcPr>
            <w:tcW w:w="1302"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李家年</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75" w:hRule="atLeast"/>
          <w:jc w:val="center"/>
        </w:trPr>
        <w:tc>
          <w:tcPr>
            <w:tcW w:w="86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2</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配送公司款项</w:t>
            </w:r>
          </w:p>
        </w:tc>
        <w:tc>
          <w:tcPr>
            <w:tcW w:w="521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结算配送公司1-3月份的款项</w:t>
            </w:r>
          </w:p>
        </w:tc>
        <w:tc>
          <w:tcPr>
            <w:tcW w:w="1084" w:type="dxa"/>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曹玲英</w:t>
            </w:r>
          </w:p>
        </w:tc>
        <w:tc>
          <w:tcPr>
            <w:tcW w:w="1302"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李家年</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86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3</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市场蔬菜价格</w:t>
            </w:r>
          </w:p>
        </w:tc>
        <w:tc>
          <w:tcPr>
            <w:tcW w:w="521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考察了解市场价格更好的把控食材成本。</w:t>
            </w:r>
          </w:p>
        </w:tc>
        <w:tc>
          <w:tcPr>
            <w:tcW w:w="1084" w:type="dxa"/>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邓卫国</w:t>
            </w:r>
          </w:p>
        </w:tc>
        <w:tc>
          <w:tcPr>
            <w:tcW w:w="1302"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李家年</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9" w:hRule="atLeast"/>
          <w:jc w:val="center"/>
        </w:trPr>
        <w:tc>
          <w:tcPr>
            <w:tcW w:w="86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4</w:t>
            </w:r>
          </w:p>
        </w:tc>
        <w:tc>
          <w:tcPr>
            <w:tcW w:w="1366" w:type="dxa"/>
            <w:vMerge w:val="restart"/>
            <w:tcBorders>
              <w:top w:val="single" w:color="auto" w:sz="4" w:space="0"/>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水电中心</w:t>
            </w:r>
          </w:p>
        </w:tc>
        <w:tc>
          <w:tcPr>
            <w:tcW w:w="2263"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洗衣机安装工程</w:t>
            </w:r>
          </w:p>
        </w:tc>
        <w:tc>
          <w:tcPr>
            <w:tcW w:w="521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完成学生公寓空调清洗工作</w:t>
            </w:r>
            <w:r>
              <w:rPr>
                <w:rFonts w:hint="eastAsia" w:ascii="仿宋_GB2312" w:hAnsi="仿宋_GB2312" w:eastAsia="仿宋_GB2312" w:cs="仿宋_GB2312"/>
                <w:spacing w:val="14"/>
                <w:sz w:val="24"/>
                <w:szCs w:val="24"/>
                <w:lang w:val="en-US" w:eastAsia="zh-CN"/>
              </w:rPr>
              <w:t>;</w:t>
            </w:r>
            <w:r>
              <w:rPr>
                <w:rFonts w:hint="eastAsia" w:ascii="仿宋_GB2312" w:hAnsi="仿宋_GB2312" w:eastAsia="仿宋_GB2312" w:cs="仿宋_GB2312"/>
                <w:spacing w:val="14"/>
                <w:sz w:val="24"/>
                <w:szCs w:val="24"/>
              </w:rPr>
              <w:t>继续跟进洗衣机安装工作   </w:t>
            </w:r>
          </w:p>
        </w:tc>
        <w:tc>
          <w:tcPr>
            <w:tcW w:w="1084" w:type="dxa"/>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席丽琼</w:t>
            </w:r>
          </w:p>
        </w:tc>
        <w:tc>
          <w:tcPr>
            <w:tcW w:w="1302"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王博</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9" w:hRule="atLeast"/>
          <w:jc w:val="center"/>
        </w:trPr>
        <w:tc>
          <w:tcPr>
            <w:tcW w:w="86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5</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抄收经营用户水电表</w:t>
            </w:r>
          </w:p>
        </w:tc>
        <w:tc>
          <w:tcPr>
            <w:tcW w:w="521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完成催缴门面及家属区未抵扣成功的水电费。</w:t>
            </w:r>
          </w:p>
        </w:tc>
        <w:tc>
          <w:tcPr>
            <w:tcW w:w="1084" w:type="dxa"/>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唐满华</w:t>
            </w:r>
          </w:p>
        </w:tc>
        <w:tc>
          <w:tcPr>
            <w:tcW w:w="1302"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王博</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68" w:hRule="atLeast"/>
          <w:jc w:val="center"/>
        </w:trPr>
        <w:tc>
          <w:tcPr>
            <w:tcW w:w="86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6</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水质检测</w:t>
            </w:r>
          </w:p>
        </w:tc>
        <w:tc>
          <w:tcPr>
            <w:tcW w:w="521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完成自备水厂水质消毒药品及试剂耗材的重新招标的文件起草及对接工作。</w:t>
            </w:r>
            <w:r>
              <w:rPr>
                <w:rFonts w:hint="eastAsia" w:ascii="仿宋_GB2312" w:hAnsi="仿宋_GB2312" w:eastAsia="仿宋_GB2312" w:cs="仿宋_GB2312"/>
                <w:spacing w:val="14"/>
                <w:sz w:val="24"/>
                <w:szCs w:val="24"/>
              </w:rPr>
              <w:br w:type="textWrapping"/>
            </w:r>
            <w:r>
              <w:rPr>
                <w:rFonts w:hint="eastAsia" w:ascii="仿宋_GB2312" w:hAnsi="仿宋_GB2312" w:eastAsia="仿宋_GB2312" w:cs="仿宋_GB2312"/>
                <w:spacing w:val="14"/>
                <w:sz w:val="24"/>
                <w:szCs w:val="24"/>
              </w:rPr>
              <w:t>完成日常水质检测工作</w:t>
            </w:r>
          </w:p>
        </w:tc>
        <w:tc>
          <w:tcPr>
            <w:tcW w:w="1084" w:type="dxa"/>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王艳香</w:t>
            </w:r>
          </w:p>
        </w:tc>
        <w:tc>
          <w:tcPr>
            <w:tcW w:w="1302"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王博</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68"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7</w:t>
            </w:r>
          </w:p>
        </w:tc>
        <w:tc>
          <w:tcPr>
            <w:tcW w:w="1366" w:type="dxa"/>
            <w:vMerge w:val="restart"/>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物管中心</w:t>
            </w:r>
          </w:p>
        </w:tc>
        <w:tc>
          <w:tcPr>
            <w:tcW w:w="226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校园保洁</w:t>
            </w:r>
          </w:p>
        </w:tc>
        <w:tc>
          <w:tcPr>
            <w:tcW w:w="521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1.加强公共区域的保洁；主干道、绿化带内、草坪内的落叶及时清理干净。</w:t>
            </w:r>
          </w:p>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2.家属区每周消毒一次。</w:t>
            </w:r>
          </w:p>
        </w:tc>
        <w:tc>
          <w:tcPr>
            <w:tcW w:w="1084"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周小驭</w:t>
            </w:r>
          </w:p>
        </w:tc>
        <w:tc>
          <w:tcPr>
            <w:tcW w:w="130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李家年</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68"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8</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全校19户33位教职工医学观察期间的防控工作</w:t>
            </w:r>
          </w:p>
        </w:tc>
        <w:tc>
          <w:tcPr>
            <w:tcW w:w="521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每日及时对楼道消毒及生活垃圾清理</w:t>
            </w:r>
          </w:p>
        </w:tc>
        <w:tc>
          <w:tcPr>
            <w:tcW w:w="1084"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周小驭</w:t>
            </w:r>
          </w:p>
        </w:tc>
        <w:tc>
          <w:tcPr>
            <w:tcW w:w="130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李家年</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151"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9</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教学楼、学生宿舍卫生检查及整顿情况</w:t>
            </w:r>
          </w:p>
        </w:tc>
        <w:tc>
          <w:tcPr>
            <w:tcW w:w="521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教学楼内细节卫生要求：门、扶手、玻璃窗台干净明亮；卫生间污垢的清理；加强教室卫生保洁及消毒工作。</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加强学生宿舍楼道保洁消毒工作；</w:t>
            </w:r>
          </w:p>
        </w:tc>
        <w:tc>
          <w:tcPr>
            <w:tcW w:w="1084"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周小驭</w:t>
            </w:r>
          </w:p>
        </w:tc>
        <w:tc>
          <w:tcPr>
            <w:tcW w:w="130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李家年</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9"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10</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2020年绿化养护合同签订</w:t>
            </w:r>
          </w:p>
        </w:tc>
        <w:tc>
          <w:tcPr>
            <w:tcW w:w="521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经济合同会签表签字</w:t>
            </w:r>
          </w:p>
        </w:tc>
        <w:tc>
          <w:tcPr>
            <w:tcW w:w="1084"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唐嘉忆</w:t>
            </w:r>
          </w:p>
        </w:tc>
        <w:tc>
          <w:tcPr>
            <w:tcW w:w="130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李家年</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151"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11</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auto"/>
                <w:spacing w:val="14"/>
                <w:kern w:val="2"/>
                <w:sz w:val="24"/>
                <w:szCs w:val="24"/>
                <w:lang w:val="en-US" w:eastAsia="zh-CN" w:bidi="ar-SA"/>
              </w:rPr>
              <w:t>绿化养护</w:t>
            </w:r>
          </w:p>
        </w:tc>
        <w:tc>
          <w:tcPr>
            <w:tcW w:w="521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2"/>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kern w:val="2"/>
                <w:sz w:val="24"/>
                <w:szCs w:val="24"/>
                <w:lang w:val="en-US" w:eastAsia="zh-CN" w:bidi="ar-SA"/>
              </w:rPr>
            </w:pPr>
            <w:r>
              <w:rPr>
                <w:rFonts w:hint="eastAsia" w:ascii="华文仿宋" w:hAnsi="华文仿宋" w:eastAsia="华文仿宋" w:cs="华文仿宋"/>
                <w:b w:val="0"/>
                <w:bCs w:val="0"/>
                <w:color w:val="auto"/>
                <w:spacing w:val="14"/>
                <w:kern w:val="2"/>
                <w:sz w:val="24"/>
                <w:szCs w:val="24"/>
                <w:lang w:val="en-US" w:eastAsia="zh-CN" w:bidi="ar-SA"/>
              </w:rPr>
              <w:t>高空云梯清理高空枯枝</w:t>
            </w:r>
          </w:p>
          <w:p>
            <w:pPr>
              <w:keepNext w:val="0"/>
              <w:keepLines w:val="0"/>
              <w:pageBreakBefore w:val="0"/>
              <w:widowControl w:val="0"/>
              <w:numPr>
                <w:ilvl w:val="0"/>
                <w:numId w:val="2"/>
              </w:numPr>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color w:val="auto"/>
                <w:spacing w:val="14"/>
                <w:kern w:val="2"/>
                <w:sz w:val="24"/>
                <w:szCs w:val="24"/>
                <w:lang w:val="en-US" w:eastAsia="zh-CN" w:bidi="ar-SA"/>
              </w:rPr>
            </w:pPr>
            <w:r>
              <w:rPr>
                <w:rFonts w:hint="eastAsia" w:ascii="华文仿宋" w:hAnsi="华文仿宋" w:eastAsia="华文仿宋" w:cs="华文仿宋"/>
                <w:b w:val="0"/>
                <w:bCs w:val="0"/>
                <w:color w:val="auto"/>
                <w:spacing w:val="14"/>
                <w:kern w:val="2"/>
                <w:sz w:val="24"/>
                <w:szCs w:val="24"/>
                <w:lang w:val="en-US" w:eastAsia="zh-CN" w:bidi="ar-SA"/>
              </w:rPr>
              <w:t>开学前绿篱修剪</w:t>
            </w:r>
          </w:p>
          <w:p>
            <w:pPr>
              <w:keepNext w:val="0"/>
              <w:keepLines w:val="0"/>
              <w:pageBreakBefore w:val="0"/>
              <w:widowControl w:val="0"/>
              <w:numPr>
                <w:ilvl w:val="0"/>
                <w:numId w:val="2"/>
              </w:numPr>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auto"/>
                <w:spacing w:val="14"/>
                <w:kern w:val="2"/>
                <w:sz w:val="24"/>
                <w:szCs w:val="24"/>
                <w:lang w:val="en-US" w:eastAsia="zh-CN" w:bidi="ar-SA"/>
              </w:rPr>
              <w:t>清点校内接水口数量、统计需维修或新增的数量</w:t>
            </w:r>
          </w:p>
        </w:tc>
        <w:tc>
          <w:tcPr>
            <w:tcW w:w="1084"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唐嘉忆</w:t>
            </w:r>
          </w:p>
        </w:tc>
        <w:tc>
          <w:tcPr>
            <w:tcW w:w="130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李家年</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68"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12</w:t>
            </w:r>
          </w:p>
        </w:tc>
        <w:tc>
          <w:tcPr>
            <w:tcW w:w="1366" w:type="dxa"/>
            <w:vMerge w:val="restart"/>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医疗中心</w:t>
            </w:r>
          </w:p>
        </w:tc>
        <w:tc>
          <w:tcPr>
            <w:tcW w:w="2263" w:type="dxa"/>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default"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做好5月6日开学防疫演练前期准备工作</w:t>
            </w:r>
          </w:p>
        </w:tc>
        <w:tc>
          <w:tcPr>
            <w:tcW w:w="5216" w:type="dxa"/>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hint="default"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根据学校防疫演练要求，做好相关前期准备工作</w:t>
            </w:r>
          </w:p>
        </w:tc>
        <w:tc>
          <w:tcPr>
            <w:tcW w:w="1084" w:type="dxa"/>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雷娟</w:t>
            </w:r>
          </w:p>
        </w:tc>
        <w:tc>
          <w:tcPr>
            <w:tcW w:w="1302" w:type="dxa"/>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王博</w:t>
            </w:r>
          </w:p>
        </w:tc>
        <w:tc>
          <w:tcPr>
            <w:tcW w:w="1859" w:type="dxa"/>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9"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13</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default"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初拟开学前后防控物资采购计划</w:t>
            </w:r>
          </w:p>
        </w:tc>
        <w:tc>
          <w:tcPr>
            <w:tcW w:w="5216" w:type="dxa"/>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hint="default"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根据学校防疫各部门需要做好开学前后防控物资采购计划并请示</w:t>
            </w:r>
          </w:p>
        </w:tc>
        <w:tc>
          <w:tcPr>
            <w:tcW w:w="1084" w:type="dxa"/>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雷娟</w:t>
            </w:r>
          </w:p>
        </w:tc>
        <w:tc>
          <w:tcPr>
            <w:tcW w:w="1302" w:type="dxa"/>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王博</w:t>
            </w:r>
          </w:p>
        </w:tc>
        <w:tc>
          <w:tcPr>
            <w:tcW w:w="1859" w:type="dxa"/>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151"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14</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default"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做好2019年盈利结余财务结算和请示报告，继续进行相关财务报账</w:t>
            </w:r>
          </w:p>
        </w:tc>
        <w:tc>
          <w:tcPr>
            <w:tcW w:w="5216" w:type="dxa"/>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hint="default"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做好2019年盈利结余财务结算和请示报告，按财务报账流程进行相关报账程序</w:t>
            </w:r>
          </w:p>
        </w:tc>
        <w:tc>
          <w:tcPr>
            <w:tcW w:w="1084" w:type="dxa"/>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雷娟</w:t>
            </w:r>
          </w:p>
        </w:tc>
        <w:tc>
          <w:tcPr>
            <w:tcW w:w="1302" w:type="dxa"/>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spacing w:val="14"/>
                <w:sz w:val="24"/>
                <w:szCs w:val="24"/>
              </w:rPr>
              <w:t>王博</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68"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15</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ascii="仿宋_GB2312" w:hAnsi="仿宋_GB2312" w:eastAsia="仿宋_GB2312" w:cs="仿宋_GB2312"/>
                <w:color w:val="FF0000"/>
                <w:spacing w:val="14"/>
                <w:sz w:val="24"/>
                <w:szCs w:val="24"/>
              </w:rPr>
            </w:pPr>
            <w:r>
              <w:rPr>
                <w:rFonts w:hint="eastAsia" w:ascii="仿宋_GB2312" w:hAnsi="仿宋_GB2312" w:eastAsia="仿宋_GB2312" w:cs="仿宋_GB2312"/>
                <w:spacing w:val="14"/>
                <w:sz w:val="24"/>
                <w:szCs w:val="24"/>
              </w:rPr>
              <w:t>初拟开学后肺结核筛查方案</w:t>
            </w:r>
          </w:p>
        </w:tc>
        <w:tc>
          <w:tcPr>
            <w:tcW w:w="521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ascii="仿宋_GB2312" w:hAnsi="仿宋_GB2312" w:eastAsia="仿宋_GB2312" w:cs="仿宋_GB2312"/>
                <w:color w:val="FF0000"/>
                <w:spacing w:val="14"/>
                <w:sz w:val="24"/>
                <w:szCs w:val="24"/>
              </w:rPr>
            </w:pPr>
            <w:r>
              <w:rPr>
                <w:rFonts w:hint="eastAsia" w:ascii="仿宋_GB2312" w:hAnsi="仿宋_GB2312" w:eastAsia="仿宋_GB2312" w:cs="仿宋_GB2312"/>
                <w:spacing w:val="14"/>
                <w:sz w:val="24"/>
                <w:szCs w:val="24"/>
              </w:rPr>
              <w:t>根据3个班师生的肺结核密切接触者人员摸排情况，按照零陵区疾控中心指导意见，初拟开学后筛查方案</w:t>
            </w:r>
          </w:p>
        </w:tc>
        <w:tc>
          <w:tcPr>
            <w:tcW w:w="1084" w:type="dxa"/>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FF0000"/>
                <w:spacing w:val="14"/>
                <w:sz w:val="24"/>
                <w:szCs w:val="24"/>
              </w:rPr>
            </w:pPr>
            <w:r>
              <w:rPr>
                <w:rFonts w:hint="eastAsia" w:ascii="仿宋_GB2312" w:hAnsi="仿宋_GB2312" w:eastAsia="仿宋_GB2312" w:cs="仿宋_GB2312"/>
                <w:spacing w:val="14"/>
                <w:sz w:val="24"/>
                <w:szCs w:val="24"/>
              </w:rPr>
              <w:t>雷娟</w:t>
            </w:r>
          </w:p>
        </w:tc>
        <w:tc>
          <w:tcPr>
            <w:tcW w:w="1302"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FF0000"/>
                <w:spacing w:val="14"/>
                <w:sz w:val="24"/>
                <w:szCs w:val="24"/>
              </w:rPr>
            </w:pPr>
            <w:r>
              <w:rPr>
                <w:rFonts w:hint="eastAsia" w:ascii="仿宋_GB2312" w:hAnsi="仿宋_GB2312" w:eastAsia="仿宋_GB2312" w:cs="仿宋_GB2312"/>
                <w:spacing w:val="14"/>
                <w:sz w:val="24"/>
                <w:szCs w:val="24"/>
              </w:rPr>
              <w:t>王博</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719"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16</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汇总各学院2019级新生肺结核筛查PPD皮试强阳性学生的相关治疗资料上报零陵区疾控中心</w:t>
            </w:r>
          </w:p>
        </w:tc>
        <w:tc>
          <w:tcPr>
            <w:tcW w:w="521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spacing w:val="14"/>
                <w:sz w:val="24"/>
                <w:szCs w:val="24"/>
              </w:rPr>
              <w:t>按零陵区疾控中心要求对2019级新生入学肺结核筛查中PPD皮试呈强阳性的学生进行预防性治疗和疫情防控，并收集相关治疗资料，本周汇总后上报零陵区疾控中心。</w:t>
            </w:r>
          </w:p>
        </w:tc>
        <w:tc>
          <w:tcPr>
            <w:tcW w:w="1084" w:type="dxa"/>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雷娟</w:t>
            </w:r>
          </w:p>
        </w:tc>
        <w:tc>
          <w:tcPr>
            <w:tcW w:w="1302"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王博</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30"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17</w:t>
            </w:r>
          </w:p>
        </w:tc>
        <w:tc>
          <w:tcPr>
            <w:tcW w:w="1366" w:type="dxa"/>
            <w:vMerge w:val="restart"/>
            <w:tcBorders>
              <w:top w:val="single" w:color="auto" w:sz="4" w:space="0"/>
              <w:left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办公室</w:t>
            </w:r>
          </w:p>
        </w:tc>
        <w:tc>
          <w:tcPr>
            <w:tcW w:w="2263"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档案归档工作</w:t>
            </w:r>
          </w:p>
        </w:tc>
        <w:tc>
          <w:tcPr>
            <w:tcW w:w="521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4月28日收集整理，30日移交档案管。</w:t>
            </w:r>
          </w:p>
        </w:tc>
        <w:tc>
          <w:tcPr>
            <w:tcW w:w="1084"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auto"/>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130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auto"/>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1"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18</w:t>
            </w:r>
          </w:p>
        </w:tc>
        <w:tc>
          <w:tcPr>
            <w:tcW w:w="1366" w:type="dxa"/>
            <w:vMerge w:val="continue"/>
            <w:tcBorders>
              <w:left w:val="single" w:color="auto"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仿宋_GB2312" w:hAnsi="仿宋_GB2312" w:eastAsia="仿宋_GB2312" w:cs="仿宋_GB2312"/>
                <w:color w:val="auto"/>
                <w:spacing w:val="14"/>
                <w:sz w:val="24"/>
                <w:szCs w:val="24"/>
                <w:lang w:val="en-US" w:eastAsia="zh-CN"/>
              </w:rPr>
            </w:pPr>
            <w:r>
              <w:rPr>
                <w:rFonts w:hint="eastAsia" w:ascii="华文仿宋" w:hAnsi="华文仿宋" w:eastAsia="华文仿宋" w:cs="华文仿宋"/>
                <w:b w:val="0"/>
                <w:bCs w:val="0"/>
                <w:spacing w:val="14"/>
                <w:kern w:val="2"/>
                <w:sz w:val="24"/>
                <w:szCs w:val="24"/>
                <w:lang w:val="en-US" w:eastAsia="zh-CN" w:bidi="ar-SA"/>
              </w:rPr>
              <w:t>后勤工作宣传稿</w:t>
            </w:r>
          </w:p>
        </w:tc>
        <w:tc>
          <w:tcPr>
            <w:tcW w:w="521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pacing w:val="14"/>
                <w:sz w:val="24"/>
                <w:szCs w:val="24"/>
                <w:lang w:val="en-US" w:eastAsia="zh-CN"/>
              </w:rPr>
            </w:pPr>
            <w:r>
              <w:rPr>
                <w:rFonts w:hint="eastAsia" w:ascii="华文仿宋" w:hAnsi="华文仿宋" w:eastAsia="华文仿宋" w:cs="华文仿宋"/>
                <w:b w:val="0"/>
                <w:bCs w:val="0"/>
                <w:spacing w:val="14"/>
                <w:kern w:val="2"/>
                <w:sz w:val="24"/>
                <w:szCs w:val="24"/>
                <w:lang w:val="en-US" w:eastAsia="zh-CN" w:bidi="ar-SA"/>
              </w:rPr>
              <w:t>收集后勤工作图（如消杀工作、卫生清洁等），形成宣传稿。</w:t>
            </w:r>
          </w:p>
        </w:tc>
        <w:tc>
          <w:tcPr>
            <w:tcW w:w="1084" w:type="dxa"/>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唐艳华</w:t>
            </w:r>
          </w:p>
        </w:tc>
        <w:tc>
          <w:tcPr>
            <w:tcW w:w="1302"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谷利民</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30"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19</w:t>
            </w:r>
          </w:p>
        </w:tc>
        <w:tc>
          <w:tcPr>
            <w:tcW w:w="1366" w:type="dxa"/>
            <w:vMerge w:val="continue"/>
            <w:tcBorders>
              <w:left w:val="single" w:color="auto"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kern w:val="2"/>
                <w:sz w:val="24"/>
                <w:szCs w:val="24"/>
                <w:lang w:val="en-US" w:eastAsia="zh-CN" w:bidi="ar-SA"/>
              </w:rPr>
              <w:t>后勤服务</w:t>
            </w:r>
          </w:p>
        </w:tc>
        <w:tc>
          <w:tcPr>
            <w:tcW w:w="521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kern w:val="2"/>
                <w:sz w:val="24"/>
                <w:szCs w:val="24"/>
                <w:lang w:val="en-US" w:eastAsia="zh-CN" w:bidi="ar-SA"/>
              </w:rPr>
              <w:t>拟定后勤一站式服务方案</w:t>
            </w:r>
          </w:p>
        </w:tc>
        <w:tc>
          <w:tcPr>
            <w:tcW w:w="1084" w:type="dxa"/>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唐艳华</w:t>
            </w:r>
          </w:p>
        </w:tc>
        <w:tc>
          <w:tcPr>
            <w:tcW w:w="1302" w:type="dxa"/>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谷利民</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9"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20</w:t>
            </w:r>
          </w:p>
        </w:tc>
        <w:tc>
          <w:tcPr>
            <w:tcW w:w="1366" w:type="dxa"/>
            <w:vMerge w:val="restart"/>
            <w:tcBorders>
              <w:top w:val="single" w:color="auto" w:sz="4" w:space="0"/>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房管中心</w:t>
            </w:r>
          </w:p>
        </w:tc>
        <w:tc>
          <w:tcPr>
            <w:tcW w:w="226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仿宋_GB2312" w:hAnsi="仿宋_GB2312" w:eastAsia="仿宋_GB2312" w:cs="仿宋_GB2312"/>
                <w:color w:val="FF000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东门门面合同签约</w:t>
            </w:r>
          </w:p>
        </w:tc>
        <w:tc>
          <w:tcPr>
            <w:tcW w:w="521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default" w:ascii="仿宋_GB2312" w:hAnsi="仿宋_GB2312" w:eastAsia="仿宋_GB2312" w:cs="仿宋_GB2312"/>
                <w:color w:val="FF000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电信及联通合同交法务审核</w:t>
            </w:r>
          </w:p>
        </w:tc>
        <w:tc>
          <w:tcPr>
            <w:tcW w:w="1084"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FF000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周楚尧</w:t>
            </w:r>
          </w:p>
        </w:tc>
        <w:tc>
          <w:tcPr>
            <w:tcW w:w="130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FF000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07" w:hRule="atLeast"/>
          <w:jc w:val="center"/>
        </w:trPr>
        <w:tc>
          <w:tcPr>
            <w:tcW w:w="86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21</w:t>
            </w:r>
          </w:p>
        </w:tc>
        <w:tc>
          <w:tcPr>
            <w:tcW w:w="1366" w:type="dxa"/>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color w:val="FF0000"/>
                <w:spacing w:val="14"/>
                <w:sz w:val="24"/>
                <w:szCs w:val="24"/>
                <w:lang w:val="en-US" w:eastAsia="zh-CN"/>
              </w:rPr>
            </w:pPr>
          </w:p>
        </w:tc>
        <w:tc>
          <w:tcPr>
            <w:tcW w:w="226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仿宋_GB2312" w:hAnsi="仿宋_GB2312" w:eastAsia="仿宋_GB2312" w:cs="仿宋_GB2312"/>
                <w:color w:val="FF000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校内快递管理工作</w:t>
            </w:r>
          </w:p>
        </w:tc>
        <w:tc>
          <w:tcPr>
            <w:tcW w:w="521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default" w:ascii="仿宋_GB2312" w:hAnsi="仿宋_GB2312" w:eastAsia="仿宋_GB2312" w:cs="仿宋_GB2312"/>
                <w:color w:val="FF000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完成校外快递入驻校内工作</w:t>
            </w:r>
          </w:p>
        </w:tc>
        <w:tc>
          <w:tcPr>
            <w:tcW w:w="1084"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FF000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周楚尧</w:t>
            </w:r>
          </w:p>
        </w:tc>
        <w:tc>
          <w:tcPr>
            <w:tcW w:w="130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FF000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1859"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p>
        </w:tc>
      </w:tr>
    </w:tbl>
    <w:p>
      <w:pPr>
        <w:rPr>
          <w:rFonts w:hint="eastAsia" w:ascii="仿宋_GB2312" w:hAnsi="仿宋_GB2312" w:eastAsia="仿宋_GB2312" w:cs="仿宋_GB2312"/>
        </w:rPr>
      </w:pPr>
      <w:r>
        <w:rPr>
          <w:rFonts w:hint="eastAsia" w:ascii="仿宋_GB2312" w:hAnsi="仿宋_GB2312" w:eastAsia="仿宋_GB2312" w:cs="仿宋_GB2312"/>
          <w:b/>
        </w:rPr>
        <w:t>备注：</w:t>
      </w:r>
      <w:r>
        <w:rPr>
          <w:rFonts w:hint="eastAsia" w:ascii="仿宋_GB2312" w:hAnsi="仿宋_GB2312" w:eastAsia="仿宋_GB2312" w:cs="仿宋_GB2312"/>
          <w:b w:val="0"/>
          <w:bCs/>
        </w:rPr>
        <w:t>1、</w:t>
      </w:r>
      <w:r>
        <w:rPr>
          <w:rFonts w:hint="eastAsia" w:ascii="仿宋_GB2312" w:hAnsi="仿宋_GB2312" w:eastAsia="仿宋_GB2312" w:cs="仿宋_GB231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1134" w:right="1440" w:bottom="85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9415D"/>
    <w:multiLevelType w:val="singleLevel"/>
    <w:tmpl w:val="DAC9415D"/>
    <w:lvl w:ilvl="0" w:tentative="0">
      <w:start w:val="1"/>
      <w:numFmt w:val="decimal"/>
      <w:lvlText w:val="%1."/>
      <w:lvlJc w:val="left"/>
      <w:pPr>
        <w:tabs>
          <w:tab w:val="left" w:pos="312"/>
        </w:tabs>
      </w:pPr>
    </w:lvl>
  </w:abstractNum>
  <w:abstractNum w:abstractNumId="1">
    <w:nsid w:val="35F43545"/>
    <w:multiLevelType w:val="singleLevel"/>
    <w:tmpl w:val="35F4354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23D2FB4"/>
    <w:rsid w:val="03981FC0"/>
    <w:rsid w:val="03991294"/>
    <w:rsid w:val="05810C90"/>
    <w:rsid w:val="05BD2FB3"/>
    <w:rsid w:val="05DE2C49"/>
    <w:rsid w:val="06243ED2"/>
    <w:rsid w:val="072A616A"/>
    <w:rsid w:val="07FB2D19"/>
    <w:rsid w:val="08E47EF9"/>
    <w:rsid w:val="08F76F8F"/>
    <w:rsid w:val="09592237"/>
    <w:rsid w:val="09E96E8B"/>
    <w:rsid w:val="0AC75AB1"/>
    <w:rsid w:val="0B1D1392"/>
    <w:rsid w:val="0B8343C1"/>
    <w:rsid w:val="0CA54219"/>
    <w:rsid w:val="0E1522F9"/>
    <w:rsid w:val="0EC4671D"/>
    <w:rsid w:val="115A2885"/>
    <w:rsid w:val="11626C5F"/>
    <w:rsid w:val="11695883"/>
    <w:rsid w:val="12141AAB"/>
    <w:rsid w:val="12E07CB2"/>
    <w:rsid w:val="140A5790"/>
    <w:rsid w:val="14BE75EF"/>
    <w:rsid w:val="166E3BDD"/>
    <w:rsid w:val="179538D3"/>
    <w:rsid w:val="17C414AC"/>
    <w:rsid w:val="17FE7461"/>
    <w:rsid w:val="19344139"/>
    <w:rsid w:val="1A09262C"/>
    <w:rsid w:val="1B766CEE"/>
    <w:rsid w:val="1C442CB2"/>
    <w:rsid w:val="1C5A081B"/>
    <w:rsid w:val="1CF045FD"/>
    <w:rsid w:val="1ED07480"/>
    <w:rsid w:val="1F41768F"/>
    <w:rsid w:val="21233E79"/>
    <w:rsid w:val="233748F8"/>
    <w:rsid w:val="25DB517C"/>
    <w:rsid w:val="260D541F"/>
    <w:rsid w:val="26B7511C"/>
    <w:rsid w:val="272D65CD"/>
    <w:rsid w:val="2898686D"/>
    <w:rsid w:val="28A710CA"/>
    <w:rsid w:val="29363CD3"/>
    <w:rsid w:val="29A6293B"/>
    <w:rsid w:val="2BC85E4A"/>
    <w:rsid w:val="2C3B2B42"/>
    <w:rsid w:val="2CA23DA8"/>
    <w:rsid w:val="2EF91637"/>
    <w:rsid w:val="31A8037E"/>
    <w:rsid w:val="31CC4C6F"/>
    <w:rsid w:val="32DA18F4"/>
    <w:rsid w:val="33770362"/>
    <w:rsid w:val="33CB5D50"/>
    <w:rsid w:val="34093176"/>
    <w:rsid w:val="34283637"/>
    <w:rsid w:val="353974F4"/>
    <w:rsid w:val="3595126B"/>
    <w:rsid w:val="35EF70F5"/>
    <w:rsid w:val="36EA0488"/>
    <w:rsid w:val="36F042B8"/>
    <w:rsid w:val="3A5F100B"/>
    <w:rsid w:val="3AE46045"/>
    <w:rsid w:val="3B415177"/>
    <w:rsid w:val="3BB81168"/>
    <w:rsid w:val="3BD022C2"/>
    <w:rsid w:val="3CA862E6"/>
    <w:rsid w:val="3D1C5745"/>
    <w:rsid w:val="3F211B6A"/>
    <w:rsid w:val="407340D8"/>
    <w:rsid w:val="42657E37"/>
    <w:rsid w:val="43154A35"/>
    <w:rsid w:val="45A43B2A"/>
    <w:rsid w:val="45B41290"/>
    <w:rsid w:val="45D82277"/>
    <w:rsid w:val="463D606A"/>
    <w:rsid w:val="465730D4"/>
    <w:rsid w:val="47CC2C83"/>
    <w:rsid w:val="486D3BB1"/>
    <w:rsid w:val="495B52F7"/>
    <w:rsid w:val="4A103EBD"/>
    <w:rsid w:val="4ABD2428"/>
    <w:rsid w:val="4ABD7997"/>
    <w:rsid w:val="4ADD1E5E"/>
    <w:rsid w:val="4AF30838"/>
    <w:rsid w:val="4B802D61"/>
    <w:rsid w:val="4C533C9E"/>
    <w:rsid w:val="4CD24D24"/>
    <w:rsid w:val="4DD375E8"/>
    <w:rsid w:val="4E1A35E9"/>
    <w:rsid w:val="4EC63889"/>
    <w:rsid w:val="4FEC4BD7"/>
    <w:rsid w:val="50E35173"/>
    <w:rsid w:val="51163B1F"/>
    <w:rsid w:val="51CB5BDB"/>
    <w:rsid w:val="52A26228"/>
    <w:rsid w:val="53CA52C6"/>
    <w:rsid w:val="543348AB"/>
    <w:rsid w:val="54CE064D"/>
    <w:rsid w:val="55344491"/>
    <w:rsid w:val="55A05CA4"/>
    <w:rsid w:val="55BD74A1"/>
    <w:rsid w:val="55D024EB"/>
    <w:rsid w:val="55FD1975"/>
    <w:rsid w:val="56F03B06"/>
    <w:rsid w:val="58174CBE"/>
    <w:rsid w:val="586D3341"/>
    <w:rsid w:val="58D46C4C"/>
    <w:rsid w:val="59D86717"/>
    <w:rsid w:val="59DD1C03"/>
    <w:rsid w:val="5C4268EC"/>
    <w:rsid w:val="5C5230D3"/>
    <w:rsid w:val="5CBB1477"/>
    <w:rsid w:val="5CE6222B"/>
    <w:rsid w:val="5D865EFA"/>
    <w:rsid w:val="5D92475C"/>
    <w:rsid w:val="5DB33964"/>
    <w:rsid w:val="5E900800"/>
    <w:rsid w:val="5ECA0936"/>
    <w:rsid w:val="5F8B35AA"/>
    <w:rsid w:val="600A5625"/>
    <w:rsid w:val="601312B8"/>
    <w:rsid w:val="61322D93"/>
    <w:rsid w:val="6322518C"/>
    <w:rsid w:val="63BA3952"/>
    <w:rsid w:val="64E8215C"/>
    <w:rsid w:val="65153FF2"/>
    <w:rsid w:val="658130B8"/>
    <w:rsid w:val="66141406"/>
    <w:rsid w:val="6648570C"/>
    <w:rsid w:val="665A54BE"/>
    <w:rsid w:val="67400CFB"/>
    <w:rsid w:val="677776C4"/>
    <w:rsid w:val="68887799"/>
    <w:rsid w:val="68D547A3"/>
    <w:rsid w:val="6987160D"/>
    <w:rsid w:val="6AB07530"/>
    <w:rsid w:val="6B303DD7"/>
    <w:rsid w:val="6C34511E"/>
    <w:rsid w:val="6C3962A0"/>
    <w:rsid w:val="6C507660"/>
    <w:rsid w:val="6C5347DD"/>
    <w:rsid w:val="6CBA3875"/>
    <w:rsid w:val="6CEE429C"/>
    <w:rsid w:val="6D963E0A"/>
    <w:rsid w:val="6E4B5606"/>
    <w:rsid w:val="6E544843"/>
    <w:rsid w:val="6E6A4191"/>
    <w:rsid w:val="6EDA7D6C"/>
    <w:rsid w:val="6F0C559F"/>
    <w:rsid w:val="701D302F"/>
    <w:rsid w:val="70A71F25"/>
    <w:rsid w:val="70D71E5F"/>
    <w:rsid w:val="71094615"/>
    <w:rsid w:val="72972EE3"/>
    <w:rsid w:val="73733D19"/>
    <w:rsid w:val="74D962CC"/>
    <w:rsid w:val="766A5B36"/>
    <w:rsid w:val="767D66BB"/>
    <w:rsid w:val="78B268FA"/>
    <w:rsid w:val="7B463C23"/>
    <w:rsid w:val="7BEB5A0F"/>
    <w:rsid w:val="7BF27A16"/>
    <w:rsid w:val="7CBC420F"/>
    <w:rsid w:val="7D4B37ED"/>
    <w:rsid w:val="7DB15516"/>
    <w:rsid w:val="7E4507C4"/>
    <w:rsid w:val="7E5625EB"/>
    <w:rsid w:val="7E9E3C3F"/>
    <w:rsid w:val="7EB83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2</TotalTime>
  <ScaleCrop>false</ScaleCrop>
  <LinksUpToDate>false</LinksUpToDate>
  <CharactersWithSpaces>279</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2020-04-28T00:53:48Z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