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cs="黑体"/>
          <w:szCs w:val="40"/>
        </w:rPr>
      </w:pPr>
      <w:r>
        <w:rPr>
          <w:rFonts w:hint="eastAsia" w:ascii="黑体" w:hAnsi="黑体" w:eastAsia="黑体" w:cs="黑体"/>
          <w:szCs w:val="40"/>
        </w:rPr>
        <w:t>附件5</w:t>
      </w:r>
      <w:bookmarkStart w:id="0" w:name="_GoBack"/>
      <w:bookmarkEnd w:id="0"/>
    </w:p>
    <w:p>
      <w:pPr>
        <w:snapToGrid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农村校园长领导力培训项目指南（D）类</w:t>
      </w:r>
    </w:p>
    <w:tbl>
      <w:tblPr>
        <w:tblStyle w:val="4"/>
        <w:tblW w:w="14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46"/>
        <w:gridCol w:w="733"/>
        <w:gridCol w:w="2109"/>
        <w:gridCol w:w="1945"/>
        <w:gridCol w:w="1730"/>
        <w:gridCol w:w="1123"/>
        <w:gridCol w:w="1706"/>
        <w:gridCol w:w="1100"/>
        <w:gridCol w:w="104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811"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项目</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类别</w:t>
            </w: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立项</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733"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项目</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编号</w:t>
            </w:r>
          </w:p>
        </w:tc>
        <w:tc>
          <w:tcPr>
            <w:tcW w:w="2109"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子项目名称</w:t>
            </w:r>
          </w:p>
        </w:tc>
        <w:tc>
          <w:tcPr>
            <w:tcW w:w="1945"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培训对象</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培训时长（天）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培训方式</w:t>
            </w:r>
          </w:p>
        </w:tc>
        <w:tc>
          <w:tcPr>
            <w:tcW w:w="170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经费标准</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培训人数（人）</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子项目经费（万元）</w:t>
            </w:r>
          </w:p>
        </w:tc>
        <w:tc>
          <w:tcPr>
            <w:tcW w:w="1672"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restart"/>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农村骨干校园长提升培训</w:t>
            </w: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D101-D102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省级优秀中小学校长高级研修（小学、初中各1个班）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由省级统筹遴选能够在省级层面发挥示范作用的农村中小学优秀校长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每年集中培训7天（省内、省外各1年），线上80学时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100（每班50）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65.12（每班32.56）</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市级农村中小学校长领导力提升研修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由市州遴选农村中小学骨干校长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最多4个班，每班70人</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84.6（每班21.15）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由承办单位联合需求市州申报，市州已单独立项的学科不能重复申报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D104</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芙蓉学校“一对一”精准帮扶学校校长能力提升研修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结对帮扶的芙蓉学校和优质校的校长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集中培训12天（省内5天，省外7天）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31.85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D105</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特殊教育学校校长高级研修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特殊教育学校校长、市州特教专干</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省内440元/人/天，师资费1万/天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43.12</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具有特殊教育专业的院校或承训机构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幼儿园优秀园长高级研修（省级示范性幼儿园，市级示范性幼儿园各1个班）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县级及以下示范性幼儿园园长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每年集中培训7天（省内、省外各1年），线上80学时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140（每班70）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65.12（每班32.56）</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幼儿园与小学科学衔接校园长研修（14个市州各1个班）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骨干园长、小学骨干校长（除试点园、试点校外）</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1000（14个市州各1个班，每班100人）</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231（每班16.5）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D108</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幼儿园园长任职资格培训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新任幼儿园园长或储备园长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最多6个班，每班70人</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102.9（每班17.15）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由承办高校联合需求市州申报（可联合多个市州），市州已单独立项的学科不能重复申报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D109</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民办幼儿园园长领导力培训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民办幼儿园园长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36.75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restart"/>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农村骨干校园长提升培训</w:t>
            </w: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D110</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民办义务教育阶段校长领导力培训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义务教育阶段民办学校校长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36.75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D111-D112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省级学前教育幼小衔接培训（幼儿园、小学各1个班）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省级试点幼儿园园长和试点小学校长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300（每班150）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49.5（每班24.75）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教科研单位申报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中小学德育工作（含少先队活动）培训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中小学德育副校长、德育主任、校团委书记、少先队辅导员</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12.25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教科研单位申报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D114</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“双减”背景下义务教育学校课程改革培训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由市州遴选推荐县级及以下中小学校长、副校长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天（省内或省外）</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省内27，省外32.5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教科研、高校单位申报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D115</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“双减”背景下加强义务教育学校作业管理、提升课后服务水平培训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由市州遴选推荐县级及以下义务教育学校校长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天（省内或省外）</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省内27，省外32.5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教科研、高校单位申报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中小学文化教育指导校长研修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首批中小学文化教育指导教师高研班学员</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集中培训12天（省内5天，省外7天）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26.47</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2021年立项项目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株洲市小学校长领导力高校集中研修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小学校长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9</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D118</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湘潭市农村幼儿园骨干园长胜任力提升集中研修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已具备园长任职资格，任正职园长（或业务副园长）3年或以上</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集中培训7天（省内3天，省外4天）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18.55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D119</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邵阳市农村幼儿园园长提升研修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乡村幼儿园园长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D120</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邵阳市农村中小学校长研修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农村中小学校长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D121</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常德市初中校长能力提升研修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市级优秀初中校长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23.6</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常德市幼儿园家庭教育指导能力提升研修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幼儿园业务副园长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常德市“双减”背景下教育评价及课程改革培训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义务教育学校校长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省内330元/人/天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9.9</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D124</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益阳市“双减”背景下推进教育评价和改革专项培训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中小学负责“双减”工作的校长、专干</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restart"/>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农村骨干校园长提升培训</w:t>
            </w: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益阳市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D125</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益阳市幼儿园园长、农村小学校长提升研修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幼儿园正、副园长；农村小学正、副校长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21.15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永州市义务教育阶段“双减”背景下推进教育评价和课程改革校长培训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义务教育阶段学校校长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集中7天（其中校本研修不少于2天），线上80学时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21.15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永州市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永州市农村骨干园长提升研修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市县农村幼儿园园长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集中培训7天（其中跟岗2天），线上80学时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23.6</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株洲炎陵县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D128</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炎陵县中小学骨干校长提升研修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中小学骨干校长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线上80学时，集中培训5天（含跟岗2天）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株洲荷塘区</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D129</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荷塘区“双减”背景下义务教育阶段教育评价改革专项培训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中小校长、教研员</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集中7天，线上80学时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23.6</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由县域统筹承担培训任务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湘潭湘乡市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D130</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湘乡市中小学骨干校长提升研修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中小学骨干校长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衡阳衡东县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D131</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衡东县中小学骨干校长提升研修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中小学骨干校长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线上80学时，集中培训5天（含跟岗2天）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衡阳衡山县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衡山县幼儿园园长教师工作坊研修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邵阳邵阳县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邵阳县农村骨干（园）长提升研修项目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中小学骨干校长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常德石门县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D134</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石门县中小学骨干校园长提升研修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 xml:space="preserve"> 县中小学校园长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线上80学时，集中培训5天（含跟岗2天）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12.75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常德石门县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D135</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石门县幼儿园小学科学衔接试点实验区</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县级及以下义务教育阶段和幼儿园各学科学段校园长、骨干教师</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澧县中小学骨干校长提升研修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义务教育阶段分管业务工作副校长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restart"/>
            <w:noWrap w:val="0"/>
            <w:vAlign w:val="center"/>
          </w:tcPr>
          <w:p>
            <w:pPr>
              <w:spacing w:line="240" w:lineRule="exact"/>
              <w:jc w:val="center"/>
              <w:rPr>
                <w:rFonts w:ascii="宋体" w:hAnsi="宋体" w:cs="宋体"/>
                <w:sz w:val="18"/>
                <w:szCs w:val="18"/>
              </w:rPr>
            </w:pPr>
            <w:r>
              <w:br w:type="page"/>
            </w:r>
            <w:r>
              <w:rPr>
                <w:rFonts w:hint="eastAsia" w:ascii="宋体" w:hAnsi="宋体" w:cs="宋体"/>
                <w:kern w:val="0"/>
                <w:sz w:val="18"/>
                <w:szCs w:val="18"/>
                <w:lang w:bidi="ar"/>
              </w:rPr>
              <w:t>农村骨干校园长提升培训</w:t>
            </w: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常德澧县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澧县幼儿园骨干园长提升研修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幼儿园分管业务工作副园长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张家界永定区</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D138</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永定区中小学骨干校（园）长提升研修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中小学校（园）长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9.8</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郴州</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临武县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D139</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临武县校长工作坊研修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9.2</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永州</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江华县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D140</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江华县中小学骨干校长提升研修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农村中小学校长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集中培训9天（4天省内、5天省外）</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27.8</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学员两年一贯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永州</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宁远县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D141</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宁远县中小学骨干园长（教师）提升培训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农村园长、骨干教师</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集中培训5天（校本研修不少于2天），线上80学时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永州</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冷水滩区</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冷水滩区中小学党组织书记研修项目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学校党支部书记及委员</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永州</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双牌县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双牌县中小幼骨干校园长工作坊研修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中小幼骨干校园长</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集中培训6天（送教4天，校本研修指导2天），线上80学时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11.2（县培经费承担）</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项目县2021年立项项目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怀化</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鹤城区</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D144</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鹤城区农村骨干校长提升研修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农村义务教育阶段骨干校长为主</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线上80学时，集中培训5天（含跟岗2天）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县内200元/天/人，工作坊4万元/坊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怀化</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新晃县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D145</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新晃县全域实施安吉游戏与幼小科学衔接试点试验区专项培训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幼儿园骨干教师、园长</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符合条件的承办单位协同地市申报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怀化</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新晃县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新晃县义务教育阶段“双减”背景下教育改革工作培训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校园长、骨干教师</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符合条件的承办单位协同地方申报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湘西</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保靖县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D147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保靖县农村骨干校（园）长提升研修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幼儿园园长、中小学校长</w:t>
            </w:r>
          </w:p>
        </w:tc>
        <w:tc>
          <w:tcPr>
            <w:tcW w:w="1730" w:type="dxa"/>
            <w:noWrap w:val="0"/>
            <w:vAlign w:val="center"/>
          </w:tcPr>
          <w:p>
            <w:pPr>
              <w:spacing w:line="240" w:lineRule="exact"/>
              <w:textAlignment w:val="center"/>
              <w:rPr>
                <w:rFonts w:ascii="宋体" w:hAnsi="宋体" w:cs="宋体"/>
                <w:sz w:val="18"/>
                <w:szCs w:val="18"/>
              </w:rPr>
            </w:pPr>
            <w:r>
              <w:rPr>
                <w:rStyle w:val="6"/>
                <w:rFonts w:hint="default"/>
                <w:color w:val="auto"/>
                <w:lang w:bidi="ar"/>
              </w:rPr>
              <w:t>集中培训12天（省内5天，省外7天），线上</w:t>
            </w:r>
            <w:r>
              <w:rPr>
                <w:rStyle w:val="7"/>
                <w:lang w:bidi="ar"/>
              </w:rPr>
              <w:t>80</w:t>
            </w:r>
            <w:r>
              <w:rPr>
                <w:rStyle w:val="6"/>
                <w:rFonts w:hint="default"/>
                <w:color w:val="auto"/>
                <w:lang w:bidi="ar"/>
              </w:rPr>
              <w:t>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06" w:type="dxa"/>
            <w:noWrap w:val="0"/>
            <w:vAlign w:val="center"/>
          </w:tcPr>
          <w:p>
            <w:pPr>
              <w:spacing w:line="240" w:lineRule="exact"/>
              <w:textAlignment w:val="center"/>
              <w:rPr>
                <w:rFonts w:ascii="宋体" w:hAnsi="宋体" w:cs="宋体"/>
                <w:sz w:val="18"/>
                <w:szCs w:val="18"/>
              </w:rPr>
            </w:pPr>
            <w:r>
              <w:rPr>
                <w:rStyle w:val="6"/>
                <w:rFonts w:hint="default"/>
                <w:color w:val="auto"/>
                <w:lang w:bidi="ar"/>
              </w:rPr>
              <w:t>县内200元/人/天，省外400元/人/天，工作坊</w:t>
            </w:r>
            <w:r>
              <w:rPr>
                <w:rStyle w:val="7"/>
                <w:lang w:bidi="ar"/>
              </w:rPr>
              <w:t>4</w:t>
            </w:r>
            <w:r>
              <w:rPr>
                <w:rStyle w:val="6"/>
                <w:rFonts w:hint="default"/>
                <w:color w:val="auto"/>
                <w:lang w:bidi="ar"/>
              </w:rPr>
              <w:t>万元</w:t>
            </w:r>
            <w:r>
              <w:rPr>
                <w:rStyle w:val="7"/>
                <w:lang w:bidi="ar"/>
              </w:rPr>
              <w:t>/</w:t>
            </w:r>
            <w:r>
              <w:rPr>
                <w:rStyle w:val="6"/>
                <w:rFonts w:hint="default"/>
                <w:color w:val="auto"/>
                <w:lang w:bidi="ar"/>
              </w:rPr>
              <w:t>坊</w:t>
            </w:r>
          </w:p>
        </w:tc>
        <w:tc>
          <w:tcPr>
            <w:tcW w:w="1100" w:type="dxa"/>
            <w:noWrap w:val="0"/>
            <w:vAlign w:val="center"/>
          </w:tcPr>
          <w:p>
            <w:pPr>
              <w:spacing w:line="240" w:lineRule="exact"/>
              <w:jc w:val="center"/>
              <w:textAlignment w:val="center"/>
              <w:rPr>
                <w:rFonts w:ascii="宋体" w:hAnsi="宋体" w:cs="宋体"/>
                <w:sz w:val="18"/>
                <w:szCs w:val="18"/>
              </w:rPr>
            </w:pPr>
            <w:r>
              <w:rPr>
                <w:rStyle w:val="7"/>
                <w:lang w:bidi="ar"/>
              </w:rPr>
              <w:t xml:space="preserve">50 </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23</w:t>
            </w:r>
          </w:p>
        </w:tc>
        <w:tc>
          <w:tcPr>
            <w:tcW w:w="1672" w:type="dxa"/>
            <w:noWrap/>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1" w:type="dxa"/>
            <w:vMerge w:val="restart"/>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中小学幼儿园党组织书记研修</w:t>
            </w: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D201-D203</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省级幼儿园中小学党组织书记高级研修（幼儿园、小学、初中各1个班）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县级及以下中小学优秀党组织书记</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天（省内或省外）</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省内440元/人/天，省外550元/人/天，师资费1万/天，工作坊4万元/坊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210（每班70）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每班省内28.56，省外33.95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D204-D206</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市级幼儿园中小学党组织书记提升研修（幼儿园、小学、初中）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县级及以下中小学党组织书记</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最多9个班，每班70人</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110.25（每班12.25）</w:t>
            </w:r>
          </w:p>
        </w:tc>
        <w:tc>
          <w:tcPr>
            <w:tcW w:w="1672"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由承办高校联合需求市州申报（可联合多个市州），市州已单独立项的学科不能重复申报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省级统筹</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D207</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特殊教育学校党组织书记提升研修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特殊教育学校党组织书记</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12.25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湘潭市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D208</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湘潭市义务教育阶段党组书记集中研修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义务教育阶段农村中小学党组书记</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集中培训6天（省内3天，省外3天）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15.75</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怀化市</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D209</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怀化市中小学幼儿园党组织书记研修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教育系统基层党组织书记</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5</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株洲</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天元区</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D210</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天元区义务教育中小学校党组织书记专干研修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义务教育阶段及幼儿园党支部书记、党建专干</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3</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省内350元/人/天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8.4</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衡阳</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衡山县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D211</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衡山县中小学党组织书记研修班</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中小学党组织书记</w:t>
            </w:r>
          </w:p>
        </w:tc>
        <w:tc>
          <w:tcPr>
            <w:tcW w:w="173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集中培训</w:t>
            </w:r>
            <w:r>
              <w:rPr>
                <w:rFonts w:ascii="宋体" w:hAnsi="宋体" w:cs="宋体"/>
                <w:kern w:val="0"/>
                <w:sz w:val="18"/>
                <w:szCs w:val="18"/>
                <w:lang w:bidi="ar"/>
              </w:rPr>
              <w:t>7</w:t>
            </w:r>
            <w:r>
              <w:rPr>
                <w:rFonts w:hint="eastAsia" w:ascii="宋体" w:hAnsi="宋体" w:cs="宋体"/>
                <w:kern w:val="0"/>
                <w:sz w:val="18"/>
                <w:szCs w:val="18"/>
                <w:lang w:bidi="ar"/>
              </w:rPr>
              <w:t>天</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集中研修</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省外400元/人/天</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1672" w:type="dxa"/>
            <w:noWrap w:val="0"/>
            <w:vAlign w:val="center"/>
          </w:tcPr>
          <w:p>
            <w:pPr>
              <w:spacing w:line="24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1" w:type="dxa"/>
            <w:vMerge w:val="continue"/>
            <w:noWrap w:val="0"/>
            <w:vAlign w:val="center"/>
          </w:tcPr>
          <w:p>
            <w:pPr>
              <w:spacing w:line="240" w:lineRule="exact"/>
              <w:jc w:val="center"/>
              <w:rPr>
                <w:rFonts w:ascii="宋体" w:hAnsi="宋体" w:cs="宋体"/>
                <w:sz w:val="18"/>
                <w:szCs w:val="18"/>
              </w:rPr>
            </w:pPr>
          </w:p>
        </w:tc>
        <w:tc>
          <w:tcPr>
            <w:tcW w:w="946" w:type="dxa"/>
            <w:noWrap w:val="0"/>
            <w:vAlign w:val="center"/>
          </w:tcPr>
          <w:p>
            <w:pPr>
              <w:spacing w:line="2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常德</w:t>
            </w:r>
          </w:p>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桃源县</w:t>
            </w:r>
          </w:p>
        </w:tc>
        <w:tc>
          <w:tcPr>
            <w:tcW w:w="73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sz w:val="18"/>
                <w:szCs w:val="18"/>
              </w:rPr>
              <w:t>D212</w:t>
            </w:r>
          </w:p>
        </w:tc>
        <w:tc>
          <w:tcPr>
            <w:tcW w:w="2109"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桃源县中小学党支部书记工作坊研修</w:t>
            </w:r>
          </w:p>
        </w:tc>
        <w:tc>
          <w:tcPr>
            <w:tcW w:w="1945"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中小学校党支部书记</w:t>
            </w:r>
          </w:p>
        </w:tc>
        <w:tc>
          <w:tcPr>
            <w:tcW w:w="1730"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集中培训6天，线上80学时</w:t>
            </w:r>
          </w:p>
        </w:tc>
        <w:tc>
          <w:tcPr>
            <w:tcW w:w="1123"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混合式培训</w:t>
            </w:r>
          </w:p>
        </w:tc>
        <w:tc>
          <w:tcPr>
            <w:tcW w:w="1706" w:type="dxa"/>
            <w:noWrap w:val="0"/>
            <w:vAlign w:val="center"/>
          </w:tcPr>
          <w:p>
            <w:pPr>
              <w:spacing w:line="240" w:lineRule="exact"/>
              <w:textAlignment w:val="center"/>
              <w:rPr>
                <w:rFonts w:ascii="宋体" w:hAnsi="宋体" w:cs="宋体"/>
                <w:sz w:val="18"/>
                <w:szCs w:val="18"/>
              </w:rPr>
            </w:pPr>
            <w:r>
              <w:rPr>
                <w:rFonts w:hint="eastAsia" w:ascii="宋体" w:hAnsi="宋体" w:cs="宋体"/>
                <w:kern w:val="0"/>
                <w:sz w:val="18"/>
                <w:szCs w:val="18"/>
                <w:lang w:bidi="ar"/>
              </w:rPr>
              <w:t>县内200元/人/天，工作坊4万元/坊</w:t>
            </w:r>
          </w:p>
        </w:tc>
        <w:tc>
          <w:tcPr>
            <w:tcW w:w="110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040" w:type="dxa"/>
            <w:noWrap w:val="0"/>
            <w:vAlign w:val="center"/>
          </w:tcPr>
          <w:p>
            <w:pPr>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672" w:type="dxa"/>
            <w:noWrap w:val="0"/>
            <w:vAlign w:val="center"/>
          </w:tcPr>
          <w:p>
            <w:pPr>
              <w:spacing w:line="240" w:lineRule="exact"/>
              <w:rPr>
                <w:rFonts w:ascii="宋体" w:hAnsi="宋体" w:cs="宋体"/>
                <w:sz w:val="18"/>
                <w:szCs w:val="18"/>
              </w:rPr>
            </w:pPr>
          </w:p>
        </w:tc>
      </w:tr>
    </w:tbl>
    <w:p>
      <w:r>
        <w:rPr>
          <w:rFonts w:hint="eastAsia" w:ascii="宋体" w:hAnsi="宋体" w:cs="宋体"/>
          <w:kern w:val="0"/>
          <w:sz w:val="18"/>
          <w:szCs w:val="18"/>
          <w:lang w:bidi="ar"/>
        </w:rPr>
        <w:t>备注：“学员两年一贯”为两年期递进式培训，学员不变，需按两年周期申报项目；其余未注明的项目为学员一年一换，可按照一年周期申报项目。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4B88"/>
    <w:rsid w:val="771A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pPr>
    <w:rPr>
      <w:rFonts w:ascii="Arial" w:hAnsi="Arial"/>
    </w:rPr>
  </w:style>
  <w:style w:type="character" w:customStyle="1" w:styleId="6">
    <w:name w:val="font21"/>
    <w:qFormat/>
    <w:uiPriority w:val="0"/>
    <w:rPr>
      <w:rFonts w:hint="eastAsia" w:ascii="宋体" w:hAnsi="宋体" w:eastAsia="宋体" w:cs="宋体"/>
      <w:color w:val="000000"/>
      <w:sz w:val="18"/>
      <w:szCs w:val="18"/>
      <w:u w:val="none"/>
    </w:rPr>
  </w:style>
  <w:style w:type="character" w:customStyle="1" w:styleId="7">
    <w:name w:val="font71"/>
    <w:qFormat/>
    <w:uiPriority w:val="0"/>
    <w:rPr>
      <w:rFonts w:ascii="Calibri" w:hAnsi="Calibri" w:cs="Calibri"/>
      <w:color w:val="000000"/>
      <w:sz w:val="18"/>
      <w:szCs w:val="18"/>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2021-12-09T03:27:00Z</dcterms:created>
  <dc:creator>尹竞</dc:creator>
  <lastModifiedBy>尹竞</lastModifiedBy>
  <dcterms:modified xsi:type="dcterms:W3CDTF">2021-12-09T03:27:17Z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2C843CDC59BC4FF4BB788E6F9BE2003B</vt:lpwstr>
  </property>
</Properties>
</file>