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D6B3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219BF03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 xml:space="preserve">师德集中学习教育 | </w:t>
      </w:r>
    </w:p>
    <w:p w14:paraId="1F39F5D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left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《新时代高校教师职业行为十项准则》的纪法适用 （一）</w:t>
      </w:r>
    </w:p>
    <w:p w14:paraId="214FE03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0"/>
          <w:szCs w:val="40"/>
        </w:rPr>
      </w:pPr>
    </w:p>
    <w:p w14:paraId="09A00BD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00" w:lineRule="exact"/>
        <w:ind w:firstLine="361" w:firstLineChars="100"/>
        <w:jc w:val="both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</w:rPr>
        <w:t>《新时代高校教师职业行为十项准则》</w:t>
      </w:r>
      <w:r>
        <w:rPr>
          <w:rFonts w:hint="eastAsia" w:ascii="黑体" w:hAnsi="黑体" w:eastAsia="黑体" w:cs="黑体"/>
          <w:b/>
          <w:bCs/>
          <w:color w:val="2E75B6" w:themeColor="accent1" w:themeShade="BF"/>
          <w:sz w:val="36"/>
          <w:szCs w:val="36"/>
          <w:lang w:val="en-US" w:eastAsia="zh-CN"/>
        </w:rPr>
        <w:t xml:space="preserve">     </w:t>
      </w:r>
    </w:p>
    <w:p w14:paraId="1E53211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一、坚定政治方向。</w:t>
      </w:r>
    </w:p>
    <w:p w14:paraId="6D531B3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二、自觉爱国守法。</w:t>
      </w:r>
    </w:p>
    <w:p w14:paraId="2343E99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三、传播优秀文化。</w:t>
      </w:r>
    </w:p>
    <w:p w14:paraId="4EA3CE2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四、潜心教书育人。</w:t>
      </w:r>
    </w:p>
    <w:p w14:paraId="3013976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五、关心爱护学生。</w:t>
      </w:r>
    </w:p>
    <w:p w14:paraId="5AE7C8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六、坚持言行雅正。</w:t>
      </w:r>
    </w:p>
    <w:p w14:paraId="4B0FE47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七、遵守学术规范。</w:t>
      </w:r>
    </w:p>
    <w:p w14:paraId="1F5FD32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八、秉持公平诚信。</w:t>
      </w:r>
    </w:p>
    <w:p w14:paraId="6B6D1F4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九、坚守廉洁自律。</w:t>
      </w:r>
    </w:p>
    <w:p w14:paraId="61DACF6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left="1050" w:leftChars="0" w:firstLine="602" w:firstLineChars="200"/>
        <w:textAlignment w:val="auto"/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2E75B6" w:themeColor="accent1" w:themeShade="BF"/>
          <w:sz w:val="30"/>
          <w:szCs w:val="30"/>
          <w:lang w:val="en-US" w:eastAsia="zh-CN"/>
        </w:rPr>
        <w:t>十、积极奉献社会。</w:t>
      </w:r>
    </w:p>
    <w:p w14:paraId="4DD87763">
      <w:pPr>
        <w:pStyle w:val="5"/>
        <w:rPr>
          <w:rFonts w:hint="eastAsia" w:ascii="仿宋" w:hAnsi="仿宋" w:eastAsia="仿宋" w:cs="仿宋"/>
          <w:color w:val="000000"/>
          <w:sz w:val="30"/>
          <w:szCs w:val="30"/>
        </w:rPr>
      </w:pPr>
    </w:p>
    <w:p w14:paraId="4CFF6F4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80" w:lineRule="exact"/>
        <w:textAlignment w:val="auto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坚定政治方向</w:t>
      </w:r>
    </w:p>
    <w:p w14:paraId="26662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firstLine="600" w:firstLineChars="200"/>
        <w:textAlignment w:val="auto"/>
        <w:rPr>
          <w:rFonts w:hint="default" w:ascii="仿宋" w:hAnsi="仿宋" w:eastAsia="仿宋" w:cs="仿宋"/>
          <w:color w:val="00000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 w14:paraId="5379570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</w:p>
    <w:p w14:paraId="5BAEA76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exact"/>
        <w:ind w:firstLine="602" w:firstLineChars="200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纪法适用</w:t>
      </w:r>
    </w:p>
    <w:p w14:paraId="494D93C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《中国共产党纪律处分条例》（2023年12月修订版）</w:t>
      </w:r>
    </w:p>
    <w:p w14:paraId="52B2D2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第四十九条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在重大原则问题上不同党中央保持一致且有实际言论、行为或者造成不良后果的，给予警告或者严重警告处分；情节较重的，给予撤销党内职务或者留党察看处分；情节严重的，给予开除党籍处分。</w:t>
      </w:r>
    </w:p>
    <w:p w14:paraId="5B67406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《事业单位工作人员处分规定》（人社部[2023]58号）</w:t>
      </w:r>
    </w:p>
    <w:p w14:paraId="25F9342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第十六条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　有下列行为之一的，给予记过处分；情节较重的，给予降低岗位等级处分；情节严重的，给予开除处分：</w:t>
      </w:r>
    </w:p>
    <w:p w14:paraId="42CC4DA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（一）散布有损宪法权威、中国共产党领导和国家声誉的言论的；</w:t>
      </w:r>
    </w:p>
    <w:p w14:paraId="3251543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（二）参加旨在反对宪法、中国共产党领导和国家的集会、游行、示威等活动的；</w:t>
      </w:r>
    </w:p>
    <w:p w14:paraId="0B3FF63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（三）拒不执行或者变相不执行中国共产党和国家的路线方针政策、重大决策部署的；</w:t>
      </w:r>
    </w:p>
    <w:p w14:paraId="38192A4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（四）参加非法组织、非法活动的；</w:t>
      </w:r>
    </w:p>
    <w:p w14:paraId="4D06360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（五）利用宗教活动破坏民族团结和社会稳定的；挑拨、破坏民族关系，或者参加民族分裂活动的；</w:t>
      </w:r>
    </w:p>
    <w:p w14:paraId="1CFE213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（六）在对外交往中损害国家荣誉和利益的；</w:t>
      </w:r>
    </w:p>
    <w:p w14:paraId="2368DD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（七）携带含有依法禁止内容的书刊、音像制品、电子出版物进入境内的；</w:t>
      </w:r>
    </w:p>
    <w:p w14:paraId="3043FF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（八）其他违反政治纪律的行为。</w:t>
      </w:r>
    </w:p>
    <w:p w14:paraId="30DAFF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有前款第二项、第四项、第五项行为之一的，对策划者、组织者和骨干分子，给予开除处分。</w:t>
      </w:r>
    </w:p>
    <w:p w14:paraId="1CA65AC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公开发表反对宪法确立的国家指导思想，反对中国共产党领导，反对社会主义制度，反对改革开放的文章、演说、宣言、声明等的，给予开除处分。</w:t>
      </w:r>
    </w:p>
    <w:p w14:paraId="7E3EFC7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 w14:paraId="686C372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《中华人民共和国公职人员政务处分法》</w:t>
      </w:r>
    </w:p>
    <w:p w14:paraId="1F30CB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第二十八条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 xml:space="preserve">  有下列行为之一的，予以记过或者记大过；情节较重的，予以降级或者撤职；情节严重的，予以开除：</w:t>
      </w:r>
    </w:p>
    <w:p w14:paraId="3D88D81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（一）散布有损宪法权威、中国共产党领导和国家声誉的言论的；</w:t>
      </w:r>
    </w:p>
    <w:p w14:paraId="36AC096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（二）参加旨在反对宪法、中国共产党领导和国家的集会、游行、示威等活动的；</w:t>
      </w:r>
    </w:p>
    <w:p w14:paraId="2FD117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（三）拒不执行或者变相不执行中国共产党和国家的路线方针政策、重大决策部署的；</w:t>
      </w:r>
    </w:p>
    <w:p w14:paraId="6303E75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（四）参加非法组织、非法活动的；</w:t>
      </w:r>
    </w:p>
    <w:p w14:paraId="08C796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（五）挑拨、破坏民族关系，或者参加民族分裂活动的；</w:t>
      </w:r>
    </w:p>
    <w:p w14:paraId="73BCB3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（六）利用宗教活动破坏民族团结和社会稳定的；</w:t>
      </w:r>
    </w:p>
    <w:p w14:paraId="0BEB68A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（七）在对外交往中损害国家荣誉和利益的。</w:t>
      </w:r>
    </w:p>
    <w:p w14:paraId="6CAD61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有前款第二项、第四项、第五项和第六项行为之一的，对策划者、组织者和骨干分子，予以开除。</w:t>
      </w:r>
    </w:p>
    <w:p w14:paraId="61D52E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00" w:firstLineChars="20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公开发表反对宪法确立的国家指导思想，反对中国共产党领导，反对社会主义制度，反对改革开放的文章、演说、宣言、声明等的，予以开除。</w:t>
      </w:r>
    </w:p>
    <w:p w14:paraId="74060C1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</w:p>
    <w:p w14:paraId="7A3D065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0"/>
          <w:szCs w:val="30"/>
          <w:lang w:val="en-US" w:eastAsia="zh-CN" w:bidi="ar-SA"/>
        </w:rPr>
        <w:t>案例警示</w:t>
      </w:r>
    </w:p>
    <w:p w14:paraId="7CBD0989">
      <w:pPr>
        <w:pStyle w:val="5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案例一 某高校教师黄某某多次在课堂上发表错误言论问题。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2019年9月，黄某某在其承担的专业理论课中多次发表与课程无关的错误言论，宣扬错误历史观，误导学生。给予黄某某党内严重警告、行政记过处分，暂停评奖评优、职称评定、岗位聘用、教学工作和研究生招生资格12个月，年度考核结果被认定为不称职；对黄某某所在学院领导班子进行批评教育，责令学院领导班子作出书面检查，对院长、党委书记进行通报批评，对分管副院长进行提醒谈话，取消院长、党委书记、分管副院长当年度评奖评优资格。</w:t>
      </w:r>
    </w:p>
    <w:p w14:paraId="3EE0614F">
      <w:pPr>
        <w:pStyle w:val="5"/>
        <w:ind w:firstLine="301" w:firstLineChars="100"/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案例二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0"/>
          <w:szCs w:val="30"/>
          <w:lang w:val="en-US" w:eastAsia="zh-CN" w:bidi="ar-SA"/>
        </w:rPr>
        <w:t>某高校教师梁某某长期在网络上发布和转发错误言论问题。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 w:bidi="ar-SA"/>
        </w:rPr>
        <w:t>2019年至2020年期间，梁某某通过微博、推特等网络平台多次发布和转发错误言论，其行为严重违反了《新时代高校教师职业行为准则》第一、二项规定。根据《中华人民共和国教师法》《中国共产党纪律处分条例》《事业单位工作人员处分暂行规定》《教育部关于高校教师师德失范行为处理的指导意见》等相关规定，给予梁某某开除党籍和行政记过处分，取消研究生导师资格，并停止教学工作。</w:t>
      </w:r>
    </w:p>
    <w:p w14:paraId="26BAF196">
      <w:pPr>
        <w:pStyle w:val="5"/>
        <w:ind w:firstLine="300" w:firstLineChars="100"/>
        <w:rPr>
          <w:rFonts w:hint="eastAsia" w:ascii="仿宋" w:hAnsi="仿宋" w:eastAsia="仿宋" w:cs="仿宋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E18D27"/>
    <w:multiLevelType w:val="singleLevel"/>
    <w:tmpl w:val="E9E18D27"/>
    <w:lvl w:ilvl="0" w:tentative="0">
      <w:start w:val="1"/>
      <w:numFmt w:val="chineseCounting"/>
      <w:suff w:val="space"/>
      <w:lvlText w:val="第%1项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ODZjNjg2ZmE0YWIwNWFjMjgxMjA1ZTJlMzVkOWUifQ=="/>
  </w:docVars>
  <w:rsids>
    <w:rsidRoot w:val="79FF147A"/>
    <w:rsid w:val="134A21D4"/>
    <w:rsid w:val="27F54D6A"/>
    <w:rsid w:val="43694830"/>
    <w:rsid w:val="49D66DB1"/>
    <w:rsid w:val="4AD9177C"/>
    <w:rsid w:val="591A6A7F"/>
    <w:rsid w:val="64AB0E34"/>
    <w:rsid w:val="727757F5"/>
    <w:rsid w:val="79FF147A"/>
    <w:rsid w:val="7CC51E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BodyText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1547</Words>
  <Characters>1568</Characters>
  <Lines>0</Lines>
  <Paragraphs>0</Paragraphs>
  <TotalTime>1</TotalTime>
  <ScaleCrop>false</ScaleCrop>
  <LinksUpToDate>false</LinksUpToDate>
  <CharactersWithSpaces>1582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2023-03-13T02:26:00Z</dcterms:created>
  <dc:creator>一乐先生</dc:creator>
  <cp:lastModifiedBy>陈晓婷</cp:lastModifiedBy>
  <dcterms:modified xsi:type="dcterms:W3CDTF">2024-10-18T06:44:24Z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619B4086119B41009D79FDF5CE183EB4_13</vt:lpwstr>
  </property>
</Properties>
</file>